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4EC1" w14:textId="2C0B009B" w:rsidR="00636566" w:rsidRDefault="00636566" w:rsidP="00636566">
      <w:pPr>
        <w:tabs>
          <w:tab w:val="left" w:pos="1348"/>
        </w:tabs>
        <w:spacing w:after="0"/>
        <w:jc w:val="center"/>
        <w:rPr>
          <w:b/>
          <w:lang w:val="en-US"/>
        </w:rPr>
      </w:pPr>
      <w:bookmarkStart w:id="0" w:name="_GoBack"/>
      <w:bookmarkEnd w:id="0"/>
      <w:r w:rsidRPr="00636566">
        <w:rPr>
          <w:b/>
          <w:noProof/>
          <w:lang w:eastAsia="bg-BG"/>
        </w:rPr>
        <w:drawing>
          <wp:inline distT="0" distB="0" distL="0" distR="0" wp14:anchorId="2E706CC3" wp14:editId="5A23D764">
            <wp:extent cx="751840" cy="640080"/>
            <wp:effectExtent l="0" t="0" r="0" b="7620"/>
            <wp:docPr id="1" name="Picture 1"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640080"/>
                    </a:xfrm>
                    <a:prstGeom prst="rect">
                      <a:avLst/>
                    </a:prstGeom>
                    <a:noFill/>
                    <a:ln>
                      <a:noFill/>
                    </a:ln>
                  </pic:spPr>
                </pic:pic>
              </a:graphicData>
            </a:graphic>
          </wp:inline>
        </w:drawing>
      </w:r>
    </w:p>
    <w:p w14:paraId="749AB463" w14:textId="77777777" w:rsidR="00636566" w:rsidRPr="00636566" w:rsidRDefault="00636566" w:rsidP="00636566">
      <w:pPr>
        <w:tabs>
          <w:tab w:val="left" w:pos="1348"/>
        </w:tabs>
        <w:spacing w:after="0"/>
        <w:jc w:val="center"/>
        <w:rPr>
          <w:b/>
          <w:lang w:val="en-US"/>
        </w:rPr>
      </w:pPr>
    </w:p>
    <w:p w14:paraId="421F1AC1" w14:textId="77777777" w:rsidR="00636566" w:rsidRPr="00F553B0" w:rsidRDefault="00636566" w:rsidP="00636566">
      <w:pPr>
        <w:tabs>
          <w:tab w:val="left" w:pos="1348"/>
        </w:tabs>
        <w:spacing w:after="0"/>
        <w:jc w:val="center"/>
        <w:rPr>
          <w:b/>
          <w:sz w:val="32"/>
          <w:szCs w:val="32"/>
        </w:rPr>
      </w:pPr>
      <w:r w:rsidRPr="00F553B0">
        <w:rPr>
          <w:b/>
          <w:sz w:val="32"/>
          <w:szCs w:val="32"/>
        </w:rPr>
        <w:t>Р Е П У Б Л И К А    Б Ъ Л Г А Р И Я</w:t>
      </w:r>
    </w:p>
    <w:p w14:paraId="3E523362" w14:textId="77777777" w:rsidR="00636566" w:rsidRPr="00F553B0" w:rsidRDefault="00636566" w:rsidP="00636566">
      <w:pPr>
        <w:tabs>
          <w:tab w:val="left" w:pos="1348"/>
        </w:tabs>
        <w:spacing w:after="0"/>
        <w:jc w:val="center"/>
        <w:rPr>
          <w:b/>
          <w:sz w:val="32"/>
          <w:szCs w:val="32"/>
        </w:rPr>
      </w:pPr>
      <w:r w:rsidRPr="00F553B0">
        <w:rPr>
          <w:b/>
          <w:sz w:val="32"/>
          <w:szCs w:val="32"/>
        </w:rPr>
        <w:t>ДЪРЖАВНА АГЕНЦИЯ „ЕЛЕКТРОННО УПРАВЛЕНИЕ“</w:t>
      </w:r>
    </w:p>
    <w:p w14:paraId="05AB8B5F" w14:textId="77777777" w:rsidR="00636566" w:rsidRPr="00F553B0" w:rsidRDefault="00636566" w:rsidP="005112E9">
      <w:pPr>
        <w:tabs>
          <w:tab w:val="left" w:pos="1348"/>
        </w:tabs>
        <w:spacing w:after="0"/>
        <w:jc w:val="center"/>
        <w:rPr>
          <w:b/>
          <w:sz w:val="32"/>
          <w:szCs w:val="32"/>
        </w:rPr>
      </w:pPr>
    </w:p>
    <w:p w14:paraId="210E6B18" w14:textId="77777777" w:rsidR="00636566" w:rsidRDefault="00636566" w:rsidP="005112E9">
      <w:pPr>
        <w:tabs>
          <w:tab w:val="left" w:pos="1348"/>
        </w:tabs>
        <w:spacing w:after="0"/>
        <w:jc w:val="center"/>
        <w:rPr>
          <w:b/>
        </w:rPr>
      </w:pPr>
    </w:p>
    <w:p w14:paraId="412F384F" w14:textId="77777777" w:rsidR="00636566" w:rsidRPr="006F3622" w:rsidRDefault="00636566" w:rsidP="005112E9">
      <w:pPr>
        <w:tabs>
          <w:tab w:val="left" w:pos="1348"/>
        </w:tabs>
        <w:spacing w:after="0"/>
        <w:jc w:val="center"/>
        <w:rPr>
          <w:b/>
        </w:rPr>
      </w:pPr>
    </w:p>
    <w:p w14:paraId="11C16581" w14:textId="6AD75392" w:rsidR="002D07C4" w:rsidRPr="009B0662" w:rsidRDefault="002D07C4" w:rsidP="005112E9">
      <w:pPr>
        <w:tabs>
          <w:tab w:val="left" w:pos="1348"/>
        </w:tabs>
        <w:spacing w:after="0"/>
        <w:jc w:val="center"/>
        <w:rPr>
          <w:b/>
          <w:sz w:val="28"/>
          <w:szCs w:val="28"/>
        </w:rPr>
      </w:pPr>
      <w:r w:rsidRPr="009B0662">
        <w:rPr>
          <w:b/>
          <w:sz w:val="28"/>
          <w:szCs w:val="28"/>
        </w:rPr>
        <w:t>М</w:t>
      </w:r>
      <w:r w:rsidR="009D7988" w:rsidRPr="009B0662">
        <w:rPr>
          <w:b/>
          <w:sz w:val="28"/>
          <w:szCs w:val="28"/>
        </w:rPr>
        <w:t xml:space="preserve"> </w:t>
      </w:r>
      <w:r w:rsidRPr="009B0662">
        <w:rPr>
          <w:b/>
          <w:sz w:val="28"/>
          <w:szCs w:val="28"/>
        </w:rPr>
        <w:t>Е</w:t>
      </w:r>
      <w:r w:rsidR="009D7988" w:rsidRPr="009B0662">
        <w:rPr>
          <w:b/>
          <w:sz w:val="28"/>
          <w:szCs w:val="28"/>
        </w:rPr>
        <w:t xml:space="preserve"> </w:t>
      </w:r>
      <w:r w:rsidRPr="009B0662">
        <w:rPr>
          <w:b/>
          <w:sz w:val="28"/>
          <w:szCs w:val="28"/>
        </w:rPr>
        <w:t>Т</w:t>
      </w:r>
      <w:r w:rsidR="009D7988" w:rsidRPr="009B0662">
        <w:rPr>
          <w:b/>
          <w:sz w:val="28"/>
          <w:szCs w:val="28"/>
        </w:rPr>
        <w:t xml:space="preserve"> </w:t>
      </w:r>
      <w:r w:rsidRPr="009B0662">
        <w:rPr>
          <w:b/>
          <w:sz w:val="28"/>
          <w:szCs w:val="28"/>
        </w:rPr>
        <w:t>О</w:t>
      </w:r>
      <w:r w:rsidR="009D7988" w:rsidRPr="009B0662">
        <w:rPr>
          <w:b/>
          <w:sz w:val="28"/>
          <w:szCs w:val="28"/>
        </w:rPr>
        <w:t xml:space="preserve"> </w:t>
      </w:r>
      <w:r w:rsidRPr="009B0662">
        <w:rPr>
          <w:b/>
          <w:sz w:val="28"/>
          <w:szCs w:val="28"/>
        </w:rPr>
        <w:t>Д</w:t>
      </w:r>
      <w:r w:rsidR="009D7988" w:rsidRPr="009B0662">
        <w:rPr>
          <w:b/>
          <w:sz w:val="28"/>
          <w:szCs w:val="28"/>
        </w:rPr>
        <w:t xml:space="preserve"> </w:t>
      </w:r>
      <w:r w:rsidRPr="009B0662">
        <w:rPr>
          <w:b/>
          <w:sz w:val="28"/>
          <w:szCs w:val="28"/>
        </w:rPr>
        <w:t>И</w:t>
      </w:r>
      <w:r w:rsidR="009D7988" w:rsidRPr="009B0662">
        <w:rPr>
          <w:b/>
          <w:sz w:val="28"/>
          <w:szCs w:val="28"/>
        </w:rPr>
        <w:t xml:space="preserve"> </w:t>
      </w:r>
      <w:r w:rsidRPr="009B0662">
        <w:rPr>
          <w:b/>
          <w:sz w:val="28"/>
          <w:szCs w:val="28"/>
        </w:rPr>
        <w:t>К</w:t>
      </w:r>
      <w:r w:rsidR="009D7988" w:rsidRPr="009B0662">
        <w:rPr>
          <w:b/>
          <w:sz w:val="28"/>
          <w:szCs w:val="28"/>
        </w:rPr>
        <w:t xml:space="preserve"> </w:t>
      </w:r>
      <w:r w:rsidRPr="009B0662">
        <w:rPr>
          <w:b/>
          <w:sz w:val="28"/>
          <w:szCs w:val="28"/>
        </w:rPr>
        <w:t>А</w:t>
      </w:r>
    </w:p>
    <w:p w14:paraId="3A7A1BF8" w14:textId="77777777" w:rsidR="00A9430B" w:rsidRPr="006F3622" w:rsidRDefault="00A9430B" w:rsidP="005112E9">
      <w:pPr>
        <w:tabs>
          <w:tab w:val="left" w:pos="1348"/>
        </w:tabs>
        <w:spacing w:after="0"/>
        <w:jc w:val="center"/>
        <w:rPr>
          <w:b/>
        </w:rPr>
      </w:pPr>
    </w:p>
    <w:p w14:paraId="24E3DA0E" w14:textId="435FB55C" w:rsidR="009D79EB" w:rsidRPr="006F3622" w:rsidRDefault="009D79EB" w:rsidP="005112E9">
      <w:pPr>
        <w:tabs>
          <w:tab w:val="left" w:pos="1348"/>
        </w:tabs>
        <w:spacing w:after="0"/>
        <w:jc w:val="center"/>
        <w:rPr>
          <w:b/>
        </w:rPr>
      </w:pPr>
      <w:r w:rsidRPr="006F3622">
        <w:rPr>
          <w:b/>
        </w:rPr>
        <w:t>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w:t>
      </w:r>
      <w:r w:rsidR="001219DC" w:rsidRPr="006F3622">
        <w:rPr>
          <w:b/>
        </w:rPr>
        <w:t xml:space="preserve"> и тяхното ниво на осигуреност</w:t>
      </w:r>
    </w:p>
    <w:p w14:paraId="3DC7B9B3" w14:textId="77777777" w:rsidR="00910442" w:rsidRPr="006F3622" w:rsidRDefault="00910442" w:rsidP="005112E9">
      <w:pPr>
        <w:pStyle w:val="ListParagraph"/>
        <w:tabs>
          <w:tab w:val="left" w:pos="709"/>
        </w:tabs>
        <w:spacing w:after="0"/>
        <w:ind w:left="862"/>
        <w:jc w:val="center"/>
        <w:rPr>
          <w:b/>
        </w:rPr>
      </w:pPr>
    </w:p>
    <w:p w14:paraId="0E383468" w14:textId="77777777" w:rsidR="004A144E" w:rsidRPr="006F3622" w:rsidRDefault="004A144E" w:rsidP="005112E9">
      <w:pPr>
        <w:pStyle w:val="ListParagraph"/>
        <w:tabs>
          <w:tab w:val="left" w:pos="709"/>
        </w:tabs>
        <w:spacing w:after="0"/>
        <w:ind w:left="862"/>
        <w:jc w:val="center"/>
        <w:rPr>
          <w:b/>
        </w:rPr>
      </w:pPr>
    </w:p>
    <w:p w14:paraId="1D3F3175" w14:textId="77777777" w:rsidR="004A144E" w:rsidRPr="006F3622" w:rsidRDefault="004A144E" w:rsidP="005112E9">
      <w:pPr>
        <w:pStyle w:val="ListParagraph"/>
        <w:tabs>
          <w:tab w:val="left" w:pos="709"/>
        </w:tabs>
        <w:spacing w:after="0"/>
        <w:ind w:left="862"/>
        <w:jc w:val="center"/>
        <w:rPr>
          <w:b/>
        </w:rPr>
      </w:pPr>
    </w:p>
    <w:p w14:paraId="50D4416C" w14:textId="77777777" w:rsidR="00844F10" w:rsidRPr="006F3622" w:rsidRDefault="00844F10" w:rsidP="005112E9">
      <w:pPr>
        <w:pStyle w:val="ListParagraph"/>
        <w:tabs>
          <w:tab w:val="left" w:pos="709"/>
        </w:tabs>
        <w:spacing w:after="0"/>
        <w:ind w:left="862"/>
        <w:jc w:val="center"/>
        <w:rPr>
          <w:b/>
        </w:rPr>
      </w:pPr>
    </w:p>
    <w:p w14:paraId="5554D104" w14:textId="74646759" w:rsidR="005112E9" w:rsidRPr="006F3622" w:rsidRDefault="005112E9" w:rsidP="00636566">
      <w:pPr>
        <w:pStyle w:val="ListParagraph"/>
        <w:tabs>
          <w:tab w:val="left" w:pos="709"/>
        </w:tabs>
        <w:spacing w:after="0"/>
        <w:ind w:left="862"/>
        <w:jc w:val="center"/>
        <w:rPr>
          <w:b/>
        </w:rPr>
      </w:pPr>
      <w:r w:rsidRPr="006F3622">
        <w:rPr>
          <w:b/>
        </w:rPr>
        <w:t>Глава Първа</w:t>
      </w:r>
    </w:p>
    <w:p w14:paraId="6D39D9EC" w14:textId="77777777" w:rsidR="00F0582A" w:rsidRPr="006F3622" w:rsidRDefault="00F0582A" w:rsidP="00636566">
      <w:pPr>
        <w:pStyle w:val="ListParagraph"/>
        <w:tabs>
          <w:tab w:val="left" w:pos="709"/>
        </w:tabs>
        <w:spacing w:after="0"/>
        <w:ind w:left="862"/>
        <w:jc w:val="center"/>
        <w:rPr>
          <w:b/>
        </w:rPr>
      </w:pPr>
    </w:p>
    <w:p w14:paraId="08B772D4" w14:textId="31E35B33" w:rsidR="00907C55" w:rsidRPr="006F3622" w:rsidRDefault="00907C55" w:rsidP="00636566">
      <w:pPr>
        <w:pStyle w:val="ListParagraph"/>
        <w:tabs>
          <w:tab w:val="left" w:pos="709"/>
        </w:tabs>
        <w:spacing w:after="0"/>
        <w:ind w:left="862"/>
        <w:jc w:val="center"/>
        <w:rPr>
          <w:b/>
        </w:rPr>
      </w:pPr>
      <w:r w:rsidRPr="006F3622">
        <w:rPr>
          <w:b/>
        </w:rPr>
        <w:t>Общи положения</w:t>
      </w:r>
    </w:p>
    <w:p w14:paraId="4ADDC3B5" w14:textId="77777777" w:rsidR="005112E9" w:rsidRPr="006F3622" w:rsidRDefault="005112E9" w:rsidP="005112E9">
      <w:pPr>
        <w:pStyle w:val="ListParagraph"/>
        <w:tabs>
          <w:tab w:val="left" w:pos="709"/>
        </w:tabs>
        <w:spacing w:after="0"/>
        <w:ind w:left="862"/>
        <w:jc w:val="center"/>
        <w:rPr>
          <w:b/>
        </w:rPr>
      </w:pPr>
    </w:p>
    <w:p w14:paraId="6ADEB9AD" w14:textId="77777777" w:rsidR="00B40031" w:rsidRDefault="00F77E9F" w:rsidP="00B40031">
      <w:pPr>
        <w:tabs>
          <w:tab w:val="left" w:pos="851"/>
        </w:tabs>
        <w:spacing w:after="0"/>
        <w:jc w:val="both"/>
      </w:pPr>
      <w:r w:rsidRPr="006F3622">
        <w:rPr>
          <w:b/>
        </w:rPr>
        <w:tab/>
      </w:r>
      <w:r w:rsidR="005112E9" w:rsidRPr="006F3622">
        <w:rPr>
          <w:b/>
        </w:rPr>
        <w:t>Чл. 1.</w:t>
      </w:r>
      <w:r w:rsidR="006B1A3B" w:rsidRPr="006F3622">
        <w:rPr>
          <w:b/>
        </w:rPr>
        <w:t xml:space="preserve"> </w:t>
      </w:r>
      <w:r w:rsidR="002756BB" w:rsidRPr="006F3622">
        <w:rPr>
          <w:b/>
        </w:rPr>
        <w:t>(1)</w:t>
      </w:r>
      <w:r w:rsidR="005112E9" w:rsidRPr="006F3622">
        <w:rPr>
          <w:b/>
        </w:rPr>
        <w:t xml:space="preserve"> </w:t>
      </w:r>
      <w:r w:rsidRPr="006F3622">
        <w:t xml:space="preserve">Настоящата методика има за цел да подпомогне лицата по чл. 1, ал. 1 и 2 от Закона за електронното управление (ЗЕУ) в процеса по </w:t>
      </w:r>
      <w:r w:rsidR="002B3122" w:rsidRPr="006F3622">
        <w:t>определяне на</w:t>
      </w:r>
      <w:r w:rsidR="00B40031">
        <w:t>:</w:t>
      </w:r>
    </w:p>
    <w:p w14:paraId="78C50D57" w14:textId="77777777" w:rsidR="00B40031" w:rsidRDefault="00B40031" w:rsidP="00B40031">
      <w:pPr>
        <w:tabs>
          <w:tab w:val="left" w:pos="851"/>
        </w:tabs>
        <w:spacing w:after="0"/>
        <w:jc w:val="both"/>
      </w:pPr>
    </w:p>
    <w:p w14:paraId="30212499" w14:textId="404A2D9F" w:rsidR="00B40031" w:rsidRDefault="00B40031" w:rsidP="00B40031">
      <w:pPr>
        <w:tabs>
          <w:tab w:val="left" w:pos="851"/>
        </w:tabs>
        <w:spacing w:after="0"/>
        <w:jc w:val="both"/>
      </w:pPr>
      <w:r>
        <w:tab/>
        <w:t xml:space="preserve">1. нивото на осигуреност на предоставяните </w:t>
      </w:r>
      <w:r w:rsidRPr="006F3622">
        <w:t>електронни административни услуги (ЕАУ)</w:t>
      </w:r>
      <w:r>
        <w:t>;</w:t>
      </w:r>
    </w:p>
    <w:p w14:paraId="2312F029" w14:textId="2504F55C" w:rsidR="002B3122" w:rsidRPr="006F3622" w:rsidRDefault="00B40031" w:rsidP="00B40031">
      <w:pPr>
        <w:tabs>
          <w:tab w:val="left" w:pos="851"/>
        </w:tabs>
        <w:spacing w:after="0"/>
        <w:jc w:val="both"/>
      </w:pPr>
      <w:r>
        <w:tab/>
        <w:t xml:space="preserve">2. </w:t>
      </w:r>
      <w:r w:rsidR="002B3122" w:rsidRPr="006F3622">
        <w:t xml:space="preserve">средствата за </w:t>
      </w:r>
      <w:r w:rsidR="00F77E9F" w:rsidRPr="006F3622">
        <w:t>електронната идентификация</w:t>
      </w:r>
      <w:r w:rsidR="002B3122" w:rsidRPr="006F3622">
        <w:t xml:space="preserve">, </w:t>
      </w:r>
      <w:r w:rsidR="00C46879" w:rsidRPr="006F3622">
        <w:t xml:space="preserve">с </w:t>
      </w:r>
      <w:r w:rsidR="002B3122" w:rsidRPr="006F3622">
        <w:t>кои</w:t>
      </w:r>
      <w:r w:rsidR="00715CE5" w:rsidRPr="006F3622">
        <w:t>то могат да с</w:t>
      </w:r>
      <w:r w:rsidR="002B3122" w:rsidRPr="006F3622">
        <w:t xml:space="preserve">е </w:t>
      </w:r>
      <w:r w:rsidR="00F77E9F" w:rsidRPr="006F3622">
        <w:t>заявява</w:t>
      </w:r>
      <w:r w:rsidR="006C545F" w:rsidRPr="006F3622">
        <w:t>т</w:t>
      </w:r>
      <w:r w:rsidR="00F77E9F" w:rsidRPr="006F3622">
        <w:t xml:space="preserve"> </w:t>
      </w:r>
      <w:r>
        <w:t xml:space="preserve">услугите по т. 1, </w:t>
      </w:r>
      <w:r w:rsidR="00715CE5" w:rsidRPr="006F3622">
        <w:t xml:space="preserve">както и </w:t>
      </w:r>
      <w:r w:rsidR="002B3122" w:rsidRPr="006F3622">
        <w:t>ниво</w:t>
      </w:r>
      <w:r w:rsidR="00715CE5" w:rsidRPr="006F3622">
        <w:t>то</w:t>
      </w:r>
      <w:r w:rsidR="002B3122" w:rsidRPr="006F3622">
        <w:t xml:space="preserve"> на осигуреност</w:t>
      </w:r>
      <w:r w:rsidR="00715CE5" w:rsidRPr="006F3622">
        <w:t xml:space="preserve"> на тези средства. </w:t>
      </w:r>
      <w:r w:rsidR="002B3122" w:rsidRPr="006F3622">
        <w:t xml:space="preserve"> </w:t>
      </w:r>
    </w:p>
    <w:p w14:paraId="3A9DC7FA" w14:textId="77777777" w:rsidR="00B40031" w:rsidRDefault="002756BB" w:rsidP="00F77E9F">
      <w:pPr>
        <w:tabs>
          <w:tab w:val="left" w:pos="851"/>
        </w:tabs>
        <w:jc w:val="both"/>
      </w:pPr>
      <w:r w:rsidRPr="006F3622">
        <w:tab/>
      </w:r>
    </w:p>
    <w:p w14:paraId="7A140077" w14:textId="70F0DEDB" w:rsidR="002756BB" w:rsidRPr="006F3622" w:rsidRDefault="00B40031" w:rsidP="00F77E9F">
      <w:pPr>
        <w:tabs>
          <w:tab w:val="left" w:pos="851"/>
        </w:tabs>
        <w:jc w:val="both"/>
      </w:pPr>
      <w:r>
        <w:tab/>
      </w:r>
      <w:r w:rsidR="002756BB" w:rsidRPr="006F3622">
        <w:rPr>
          <w:b/>
        </w:rPr>
        <w:t>(2)</w:t>
      </w:r>
      <w:r w:rsidR="002756BB" w:rsidRPr="006F3622">
        <w:t xml:space="preserve"> В зависимост от естеството на ЕАУ, процеса по предоставянето й и риска от злоупотреба, услугата </w:t>
      </w:r>
      <w:r w:rsidR="007940E5">
        <w:t>има</w:t>
      </w:r>
      <w:r w:rsidR="007940E5" w:rsidRPr="006F3622">
        <w:t xml:space="preserve"> </w:t>
      </w:r>
      <w:r w:rsidR="002756BB" w:rsidRPr="006F3622">
        <w:t xml:space="preserve">определена степен на надеждност, </w:t>
      </w:r>
      <w:r w:rsidR="007940E5">
        <w:t xml:space="preserve">изисква </w:t>
      </w:r>
      <w:r w:rsidR="002756BB" w:rsidRPr="006F3622">
        <w:t>средството за електронна идентификация и съответстващото му ниво на осигуреност.</w:t>
      </w:r>
    </w:p>
    <w:p w14:paraId="49F3BBFD" w14:textId="6774538C" w:rsidR="009D6CA8" w:rsidRPr="006F3622" w:rsidRDefault="003759A9" w:rsidP="00F77E9F">
      <w:pPr>
        <w:tabs>
          <w:tab w:val="left" w:pos="851"/>
        </w:tabs>
        <w:jc w:val="both"/>
      </w:pPr>
      <w:r w:rsidRPr="006F3622">
        <w:tab/>
      </w:r>
      <w:r w:rsidRPr="006F3622">
        <w:rPr>
          <w:b/>
        </w:rPr>
        <w:t>Чл. 2.</w:t>
      </w:r>
      <w:r w:rsidRPr="006F3622">
        <w:t xml:space="preserve"> </w:t>
      </w:r>
      <w:r w:rsidR="00BF49DD">
        <w:t>Предмет на методиката са</w:t>
      </w:r>
      <w:r w:rsidR="009D6CA8" w:rsidRPr="006F3622">
        <w:t xml:space="preserve">: </w:t>
      </w:r>
    </w:p>
    <w:p w14:paraId="3601129B" w14:textId="118A8246" w:rsidR="009D6CA8" w:rsidRPr="006F3622" w:rsidRDefault="009D6CA8" w:rsidP="009B37C7">
      <w:pPr>
        <w:pStyle w:val="ListParagraph"/>
        <w:numPr>
          <w:ilvl w:val="0"/>
          <w:numId w:val="28"/>
        </w:numPr>
        <w:tabs>
          <w:tab w:val="left" w:pos="851"/>
        </w:tabs>
        <w:jc w:val="both"/>
      </w:pPr>
      <w:r w:rsidRPr="006F3622">
        <w:t>нормативно установените средства за електронна идентификация;</w:t>
      </w:r>
    </w:p>
    <w:p w14:paraId="70F84C4B" w14:textId="57A3DFAD" w:rsidR="003759A9" w:rsidRDefault="009D6CA8" w:rsidP="009B37C7">
      <w:pPr>
        <w:pStyle w:val="ListParagraph"/>
        <w:numPr>
          <w:ilvl w:val="0"/>
          <w:numId w:val="28"/>
        </w:numPr>
        <w:tabs>
          <w:tab w:val="left" w:pos="851"/>
        </w:tabs>
        <w:jc w:val="both"/>
      </w:pPr>
      <w:r w:rsidRPr="006F3622">
        <w:t>нивата на осигуреност на средствата за електронна идентификация;</w:t>
      </w:r>
    </w:p>
    <w:p w14:paraId="44C8D3BA" w14:textId="413A91E3" w:rsidR="00F74787" w:rsidRPr="006F3622" w:rsidRDefault="00F74787" w:rsidP="009B37C7">
      <w:pPr>
        <w:pStyle w:val="ListParagraph"/>
        <w:numPr>
          <w:ilvl w:val="0"/>
          <w:numId w:val="28"/>
        </w:numPr>
        <w:tabs>
          <w:tab w:val="left" w:pos="851"/>
        </w:tabs>
        <w:jc w:val="both"/>
      </w:pPr>
      <w:r>
        <w:t>критерии за оценка на риска за дадена ЕАУ;</w:t>
      </w:r>
    </w:p>
    <w:p w14:paraId="6C3FF5AD" w14:textId="10971DCA" w:rsidR="009D6CA8" w:rsidRPr="006F3622" w:rsidRDefault="009B37C7" w:rsidP="009B37C7">
      <w:pPr>
        <w:pStyle w:val="ListParagraph"/>
        <w:numPr>
          <w:ilvl w:val="0"/>
          <w:numId w:val="28"/>
        </w:numPr>
        <w:tabs>
          <w:tab w:val="left" w:pos="851"/>
        </w:tabs>
        <w:jc w:val="both"/>
      </w:pPr>
      <w:r w:rsidRPr="006F3622">
        <w:t>метод</w:t>
      </w:r>
      <w:r w:rsidR="007C0F97" w:rsidRPr="006F3622">
        <w:t>а</w:t>
      </w:r>
      <w:r w:rsidRPr="006F3622">
        <w:t xml:space="preserve"> за </w:t>
      </w:r>
      <w:r w:rsidR="006F3622">
        <w:t>избор</w:t>
      </w:r>
      <w:r w:rsidR="006F3622" w:rsidRPr="006F3622">
        <w:t xml:space="preserve"> </w:t>
      </w:r>
      <w:r w:rsidRPr="006F3622">
        <w:t>на подходящо средство за електронна идентификация с ниво на осигуреност, съответстващо на предоставяната ЕАУ</w:t>
      </w:r>
      <w:r w:rsidR="00F74787">
        <w:t>, базиран на критериите по т. 3</w:t>
      </w:r>
      <w:r w:rsidRPr="006F3622">
        <w:t>;</w:t>
      </w:r>
    </w:p>
    <w:p w14:paraId="17338EEA" w14:textId="2DF04EBD" w:rsidR="005C7715" w:rsidRPr="006F3622" w:rsidRDefault="005E0E22" w:rsidP="00F0582A">
      <w:pPr>
        <w:tabs>
          <w:tab w:val="left" w:pos="851"/>
        </w:tabs>
        <w:jc w:val="both"/>
      </w:pPr>
      <w:r w:rsidRPr="006F3622">
        <w:tab/>
      </w:r>
      <w:r w:rsidR="005112E9" w:rsidRPr="006F3622">
        <w:rPr>
          <w:b/>
        </w:rPr>
        <w:t>Ч</w:t>
      </w:r>
      <w:r w:rsidR="002705AF" w:rsidRPr="006F3622">
        <w:rPr>
          <w:b/>
        </w:rPr>
        <w:t>л. 3</w:t>
      </w:r>
      <w:r w:rsidR="005112E9" w:rsidRPr="006F3622">
        <w:rPr>
          <w:b/>
        </w:rPr>
        <w:t>.</w:t>
      </w:r>
      <w:r w:rsidR="005112E9" w:rsidRPr="006F3622">
        <w:t xml:space="preserve"> </w:t>
      </w:r>
      <w:r w:rsidR="005C7715" w:rsidRPr="006F3622">
        <w:t>По смисъла на тази методика:</w:t>
      </w:r>
    </w:p>
    <w:p w14:paraId="05A410C5" w14:textId="32F3B028" w:rsidR="0095490C" w:rsidRPr="006F3622" w:rsidRDefault="006B138A" w:rsidP="006B138A">
      <w:pPr>
        <w:tabs>
          <w:tab w:val="left" w:pos="709"/>
        </w:tabs>
        <w:spacing w:after="0"/>
        <w:jc w:val="both"/>
      </w:pPr>
      <w:r w:rsidRPr="006F3622">
        <w:lastRenderedPageBreak/>
        <w:tab/>
      </w:r>
      <w:r w:rsidR="00035DC5" w:rsidRPr="006F3622">
        <w:t>1.</w:t>
      </w:r>
      <w:r w:rsidR="00035DC5" w:rsidRPr="006F3622">
        <w:rPr>
          <w:b/>
          <w:i/>
        </w:rPr>
        <w:t xml:space="preserve"> </w:t>
      </w:r>
      <w:r w:rsidR="005C7715" w:rsidRPr="006F3622">
        <w:t xml:space="preserve">„средство за електронна идентификация“ </w:t>
      </w:r>
      <w:r w:rsidR="00055452" w:rsidRPr="006F3622">
        <w:t>е</w:t>
      </w:r>
      <w:r w:rsidR="005C7715" w:rsidRPr="006F3622">
        <w:t xml:space="preserve"> материална </w:t>
      </w:r>
      <w:r w:rsidR="005C7715" w:rsidRPr="00C632BE">
        <w:t>и/или нематериална</w:t>
      </w:r>
      <w:r w:rsidR="005C7715" w:rsidRPr="006F3622">
        <w:t xml:space="preserve"> единица, която съдържа данни за идентификация на лица, която се използва за удостоверяване на автентичност за електронна услуга</w:t>
      </w:r>
      <w:r w:rsidR="00211411" w:rsidRPr="006F3622">
        <w:t>;</w:t>
      </w:r>
    </w:p>
    <w:p w14:paraId="4541DB40" w14:textId="7C1A112B" w:rsidR="0095490C" w:rsidRPr="006F3622" w:rsidRDefault="006B138A" w:rsidP="006B138A">
      <w:pPr>
        <w:tabs>
          <w:tab w:val="left" w:pos="709"/>
        </w:tabs>
        <w:spacing w:after="0"/>
        <w:jc w:val="both"/>
      </w:pPr>
      <w:r w:rsidRPr="006F3622">
        <w:tab/>
      </w:r>
      <w:r w:rsidR="00035DC5" w:rsidRPr="006F3622">
        <w:t xml:space="preserve">2. </w:t>
      </w:r>
      <w:r w:rsidR="005C7715" w:rsidRPr="006F3622">
        <w:t xml:space="preserve">„данни за идентификация на лица“ </w:t>
      </w:r>
      <w:r w:rsidR="00055452" w:rsidRPr="006F3622">
        <w:t>са</w:t>
      </w:r>
      <w:r w:rsidR="005C7715" w:rsidRPr="006F3622">
        <w:t xml:space="preserve"> набор от данни, които позволяват да се установи самоличността на физическо или юридическо лице, или на физическо лице, представляващо юридическо лице</w:t>
      </w:r>
      <w:r w:rsidR="0095490C" w:rsidRPr="006F3622">
        <w:t>.</w:t>
      </w:r>
    </w:p>
    <w:p w14:paraId="6062015F" w14:textId="24FC19A3" w:rsidR="0063346B" w:rsidRDefault="006B138A" w:rsidP="006B138A">
      <w:pPr>
        <w:tabs>
          <w:tab w:val="left" w:pos="709"/>
        </w:tabs>
        <w:spacing w:after="0"/>
        <w:jc w:val="both"/>
      </w:pPr>
      <w:r w:rsidRPr="006F3622">
        <w:tab/>
      </w:r>
      <w:r w:rsidR="00035DC5" w:rsidRPr="006F3622">
        <w:t xml:space="preserve">3. </w:t>
      </w:r>
      <w:r w:rsidR="003578B1" w:rsidRPr="006F3622">
        <w:t>„</w:t>
      </w:r>
      <w:r w:rsidRPr="006F3622">
        <w:t>н</w:t>
      </w:r>
      <w:r w:rsidR="0095490C" w:rsidRPr="006F3622">
        <w:t>иво на осигуреност на средството за електронна идентификация</w:t>
      </w:r>
      <w:r w:rsidR="003578B1" w:rsidRPr="006F3622">
        <w:t>“ -</w:t>
      </w:r>
      <w:r w:rsidR="0095490C" w:rsidRPr="006F3622">
        <w:t xml:space="preserve"> характеризира степента на надеждност на това средство при установяване на самоличността на дадено лице, като по този начин се гарантира, че лицето, претендиращо, че има определена самоличност, действително е лицето, на което е приписана тази самоличност.</w:t>
      </w:r>
    </w:p>
    <w:p w14:paraId="0710B355" w14:textId="5389F12E" w:rsidR="00B96D7A" w:rsidRDefault="00B96D7A" w:rsidP="006B138A">
      <w:pPr>
        <w:tabs>
          <w:tab w:val="left" w:pos="709"/>
        </w:tabs>
        <w:spacing w:after="0"/>
        <w:jc w:val="both"/>
      </w:pPr>
      <w:r>
        <w:tab/>
        <w:t xml:space="preserve">4. </w:t>
      </w:r>
      <w:r w:rsidRPr="003764C2">
        <w:rPr>
          <w:rFonts w:cs="Times New Roman"/>
          <w:bCs/>
          <w:iCs/>
          <w:szCs w:val="24"/>
        </w:rPr>
        <w:t>„доверяваща се страна“</w:t>
      </w:r>
      <w:r w:rsidRPr="003764C2">
        <w:rPr>
          <w:rFonts w:cs="Times New Roman"/>
          <w:iCs/>
          <w:szCs w:val="24"/>
        </w:rPr>
        <w:t xml:space="preserve"> означава физическо или юридическо лице, което разчита на електронна идентификация или удостоверителна услуга (съгласно чл. 3, пар. 6 от Регламент (ЕС) № 910/2014)</w:t>
      </w:r>
    </w:p>
    <w:p w14:paraId="4538C98F" w14:textId="6AB13E41" w:rsidR="00B96D7A" w:rsidRPr="003764C2" w:rsidRDefault="003A3656" w:rsidP="006B138A">
      <w:pPr>
        <w:tabs>
          <w:tab w:val="left" w:pos="709"/>
        </w:tabs>
        <w:spacing w:after="0"/>
        <w:jc w:val="both"/>
        <w:rPr>
          <w:rFonts w:cs="Times New Roman"/>
          <w:color w:val="000000"/>
          <w:szCs w:val="24"/>
          <w:shd w:val="clear" w:color="auto" w:fill="FEFEFE"/>
        </w:rPr>
      </w:pPr>
      <w:r>
        <w:tab/>
      </w:r>
      <w:r w:rsidR="00B96D7A">
        <w:t>5</w:t>
      </w:r>
      <w:r>
        <w:t xml:space="preserve">. </w:t>
      </w:r>
      <w:r w:rsidRPr="003764C2">
        <w:rPr>
          <w:rFonts w:cs="Times New Roman"/>
          <w:bCs/>
          <w:iCs/>
          <w:szCs w:val="24"/>
        </w:rPr>
        <w:t>„чувствителни данни“</w:t>
      </w:r>
      <w:r>
        <w:rPr>
          <w:rFonts w:cs="Times New Roman"/>
          <w:b/>
          <w:bCs/>
          <w:i/>
          <w:iCs/>
          <w:szCs w:val="24"/>
        </w:rPr>
        <w:t xml:space="preserve"> </w:t>
      </w:r>
      <w:r w:rsidRPr="003764C2">
        <w:rPr>
          <w:rFonts w:cs="Times New Roman"/>
          <w:bCs/>
          <w:iCs/>
          <w:szCs w:val="24"/>
        </w:rPr>
        <w:t>са</w:t>
      </w:r>
      <w:r w:rsidRPr="003764C2">
        <w:rPr>
          <w:rFonts w:cs="Times New Roman"/>
          <w:b/>
          <w:bCs/>
          <w:iCs/>
          <w:szCs w:val="24"/>
        </w:rPr>
        <w:t xml:space="preserve"> </w:t>
      </w:r>
      <w:r w:rsidRPr="003764C2">
        <w:rPr>
          <w:rFonts w:cs="Times New Roman"/>
          <w:iCs/>
          <w:szCs w:val="24"/>
        </w:rPr>
        <w:t>специални категории лични данни, подлежащи на</w:t>
      </w:r>
      <w:r w:rsidRPr="003764C2">
        <w:rPr>
          <w:rFonts w:eastAsia="Times New Roman" w:cs="Times New Roman"/>
          <w:iCs/>
          <w:szCs w:val="24"/>
        </w:rPr>
        <w:t xml:space="preserve"> специфични условия на обработване</w:t>
      </w:r>
      <w:r w:rsidR="00BF56FA">
        <w:t>,</w:t>
      </w:r>
      <w:r>
        <w:rPr>
          <w:rFonts w:ascii="Verdana" w:hAnsi="Verdana"/>
          <w:color w:val="000000"/>
          <w:sz w:val="18"/>
          <w:szCs w:val="18"/>
          <w:shd w:val="clear" w:color="auto" w:fill="FEFEFE"/>
        </w:rPr>
        <w:t xml:space="preserve"> </w:t>
      </w:r>
      <w:r w:rsidRPr="003764C2">
        <w:rPr>
          <w:rFonts w:cs="Times New Roman"/>
          <w:color w:val="000000"/>
          <w:szCs w:val="24"/>
          <w:shd w:val="clear" w:color="auto" w:fill="FEFEFE"/>
        </w:rPr>
        <w:t>раз</w:t>
      </w:r>
      <w:r w:rsidR="00BF56FA" w:rsidRPr="003764C2">
        <w:rPr>
          <w:rFonts w:cs="Times New Roman"/>
          <w:color w:val="000000"/>
          <w:szCs w:val="24"/>
          <w:shd w:val="clear" w:color="auto" w:fill="FEFEFE"/>
        </w:rPr>
        <w:t>криващи</w:t>
      </w:r>
      <w:r w:rsidRPr="003764C2">
        <w:rPr>
          <w:rFonts w:cs="Times New Roman"/>
          <w:color w:val="000000"/>
          <w:szCs w:val="24"/>
          <w:shd w:val="clear" w:color="auto" w:fill="FEFEFE"/>
        </w:rPr>
        <w:t xml:space="preserve"> расов или етнически произход, политически възгледи, религиозни или философски убеждения, членство в професионални съюзи, генетични данни, биометрични данни с цел уникално идентифициране на физическото лице, данни, свързани със здравословното състояние или сексуалния живот и сексуалната ориентация на лицето</w:t>
      </w:r>
      <w:r w:rsidR="00BF56FA" w:rsidRPr="004F3778">
        <w:rPr>
          <w:rFonts w:cs="Times New Roman"/>
          <w:color w:val="000000"/>
          <w:szCs w:val="24"/>
          <w:shd w:val="clear" w:color="auto" w:fill="FEFEFE"/>
        </w:rPr>
        <w:t xml:space="preserve"> </w:t>
      </w:r>
      <w:r w:rsidR="001C4131">
        <w:rPr>
          <w:rFonts w:cs="Times New Roman"/>
          <w:color w:val="000000"/>
          <w:szCs w:val="24"/>
          <w:shd w:val="clear" w:color="auto" w:fill="FEFEFE"/>
        </w:rPr>
        <w:t>(</w:t>
      </w:r>
      <w:r w:rsidR="00BF56FA" w:rsidRPr="004F3778">
        <w:rPr>
          <w:rFonts w:cs="Times New Roman"/>
          <w:color w:val="000000"/>
          <w:szCs w:val="24"/>
          <w:shd w:val="clear" w:color="auto" w:fill="FEFEFE"/>
        </w:rPr>
        <w:t>по смисъла на чл. 51, ал. 1 от За</w:t>
      </w:r>
      <w:r w:rsidR="004F3778" w:rsidRPr="00B96D7A">
        <w:rPr>
          <w:rFonts w:cs="Times New Roman"/>
          <w:color w:val="000000"/>
          <w:szCs w:val="24"/>
          <w:shd w:val="clear" w:color="auto" w:fill="FEFEFE"/>
        </w:rPr>
        <w:t>кона за защита на личните данни</w:t>
      </w:r>
      <w:r w:rsidR="001C4131">
        <w:rPr>
          <w:rFonts w:cs="Times New Roman"/>
          <w:color w:val="000000"/>
          <w:szCs w:val="24"/>
          <w:shd w:val="clear" w:color="auto" w:fill="FEFEFE"/>
        </w:rPr>
        <w:t>)</w:t>
      </w:r>
      <w:r w:rsidR="004F3778" w:rsidRPr="00B96D7A">
        <w:rPr>
          <w:rFonts w:cs="Times New Roman"/>
          <w:color w:val="000000"/>
          <w:szCs w:val="24"/>
          <w:shd w:val="clear" w:color="auto" w:fill="FEFEFE"/>
        </w:rPr>
        <w:t>.</w:t>
      </w:r>
      <w:r w:rsidR="00BF56FA" w:rsidRPr="00B96D7A">
        <w:rPr>
          <w:rFonts w:cs="Times New Roman"/>
          <w:color w:val="000000"/>
          <w:szCs w:val="24"/>
          <w:shd w:val="clear" w:color="auto" w:fill="FEFEFE"/>
        </w:rPr>
        <w:t xml:space="preserve"> </w:t>
      </w:r>
    </w:p>
    <w:p w14:paraId="10B92A84" w14:textId="5F5CC500" w:rsidR="0031406E" w:rsidRPr="0031406E" w:rsidRDefault="0031406E" w:rsidP="006B138A">
      <w:pPr>
        <w:tabs>
          <w:tab w:val="left" w:pos="709"/>
        </w:tabs>
        <w:spacing w:after="0"/>
        <w:jc w:val="both"/>
      </w:pPr>
      <w:r w:rsidRPr="0031406E">
        <w:tab/>
      </w:r>
    </w:p>
    <w:p w14:paraId="1356431C" w14:textId="77777777" w:rsidR="00F0582A" w:rsidRPr="006F3622" w:rsidRDefault="00F0582A" w:rsidP="00F0582A">
      <w:pPr>
        <w:tabs>
          <w:tab w:val="left" w:pos="709"/>
        </w:tabs>
        <w:spacing w:after="0"/>
        <w:jc w:val="center"/>
        <w:rPr>
          <w:b/>
        </w:rPr>
      </w:pPr>
      <w:r w:rsidRPr="006F3622">
        <w:rPr>
          <w:b/>
        </w:rPr>
        <w:t>Глава Втора</w:t>
      </w:r>
    </w:p>
    <w:p w14:paraId="4E3BF52F" w14:textId="77777777" w:rsidR="00F0582A" w:rsidRPr="006F3622" w:rsidRDefault="00F0582A" w:rsidP="00F0582A">
      <w:pPr>
        <w:tabs>
          <w:tab w:val="left" w:pos="709"/>
        </w:tabs>
        <w:spacing w:after="0"/>
        <w:jc w:val="center"/>
        <w:rPr>
          <w:b/>
        </w:rPr>
      </w:pPr>
    </w:p>
    <w:p w14:paraId="2F6E3EC7" w14:textId="23660B98" w:rsidR="006F3ACE" w:rsidRPr="006F3622" w:rsidRDefault="006F3ACE" w:rsidP="00F0582A">
      <w:pPr>
        <w:tabs>
          <w:tab w:val="left" w:pos="709"/>
        </w:tabs>
        <w:spacing w:after="0"/>
        <w:jc w:val="center"/>
        <w:rPr>
          <w:b/>
        </w:rPr>
      </w:pPr>
      <w:r w:rsidRPr="006F3622">
        <w:rPr>
          <w:b/>
        </w:rPr>
        <w:t>Нормативно установени средства за електронна идентификация</w:t>
      </w:r>
      <w:r w:rsidR="00273AB6" w:rsidRPr="006F3622">
        <w:rPr>
          <w:b/>
        </w:rPr>
        <w:t>.</w:t>
      </w:r>
      <w:r w:rsidRPr="006F3622">
        <w:rPr>
          <w:b/>
        </w:rPr>
        <w:t xml:space="preserve"> </w:t>
      </w:r>
    </w:p>
    <w:p w14:paraId="0C798B0E" w14:textId="1CD79BA4" w:rsidR="00FD413C" w:rsidRPr="006F3622" w:rsidRDefault="00AF5BF1" w:rsidP="00F0582A">
      <w:pPr>
        <w:tabs>
          <w:tab w:val="left" w:pos="709"/>
        </w:tabs>
        <w:spacing w:after="0"/>
        <w:jc w:val="center"/>
        <w:rPr>
          <w:b/>
        </w:rPr>
      </w:pPr>
      <w:r w:rsidRPr="006F3622">
        <w:rPr>
          <w:b/>
        </w:rPr>
        <w:t>Нива на осигуреност на средствата за електронна идентификация</w:t>
      </w:r>
      <w:r w:rsidR="005C02AA" w:rsidRPr="006F3622">
        <w:rPr>
          <w:b/>
        </w:rPr>
        <w:t xml:space="preserve"> </w:t>
      </w:r>
      <w:r w:rsidRPr="006F3622">
        <w:rPr>
          <w:b/>
        </w:rPr>
        <w:t xml:space="preserve"> </w:t>
      </w:r>
    </w:p>
    <w:p w14:paraId="7198F635" w14:textId="77777777" w:rsidR="00AF5BF1" w:rsidRPr="006F3622" w:rsidRDefault="00AF5BF1" w:rsidP="00AF5BF1">
      <w:pPr>
        <w:pStyle w:val="ListParagraph"/>
        <w:tabs>
          <w:tab w:val="left" w:pos="709"/>
        </w:tabs>
        <w:spacing w:after="0"/>
        <w:ind w:left="142"/>
        <w:rPr>
          <w:b/>
        </w:rPr>
      </w:pPr>
    </w:p>
    <w:p w14:paraId="32DE3A5E" w14:textId="77777777" w:rsidR="00891689" w:rsidRPr="006F3622" w:rsidRDefault="00891689" w:rsidP="00891689">
      <w:pPr>
        <w:pStyle w:val="ListParagraph"/>
        <w:tabs>
          <w:tab w:val="left" w:pos="709"/>
        </w:tabs>
        <w:spacing w:after="0"/>
        <w:ind w:left="142"/>
        <w:jc w:val="center"/>
        <w:rPr>
          <w:b/>
        </w:rPr>
      </w:pPr>
      <w:r w:rsidRPr="006F3622">
        <w:rPr>
          <w:b/>
        </w:rPr>
        <w:t>Нормативно установени средства за електронна идентификация и техните нива на осигуреност</w:t>
      </w:r>
    </w:p>
    <w:p w14:paraId="1271EA50" w14:textId="77777777" w:rsidR="00891689" w:rsidRPr="006F3622" w:rsidRDefault="00891689" w:rsidP="00891689">
      <w:pPr>
        <w:pStyle w:val="ListParagraph"/>
        <w:tabs>
          <w:tab w:val="left" w:pos="709"/>
        </w:tabs>
        <w:spacing w:after="0"/>
        <w:ind w:left="142"/>
        <w:jc w:val="center"/>
        <w:rPr>
          <w:b/>
        </w:rPr>
      </w:pPr>
    </w:p>
    <w:p w14:paraId="3736C173" w14:textId="4B370937" w:rsidR="00891689" w:rsidRPr="006F3622" w:rsidRDefault="00891689" w:rsidP="00891689">
      <w:pPr>
        <w:pStyle w:val="ListParagraph"/>
        <w:tabs>
          <w:tab w:val="left" w:pos="709"/>
        </w:tabs>
        <w:spacing w:after="0"/>
        <w:ind w:left="142"/>
        <w:jc w:val="both"/>
      </w:pPr>
      <w:r w:rsidRPr="006F3622">
        <w:rPr>
          <w:b/>
        </w:rPr>
        <w:tab/>
        <w:t>Чл. 4.</w:t>
      </w:r>
      <w:r w:rsidRPr="006F3622">
        <w:t xml:space="preserve"> На основание чл. 5, ал. 2 от ЗЕУ при заявяването на ЕАУ, която изисква идентификация на потребителя на услугата (физическо или юридическо лице), административните органи са длъжни да осигурят възможност на потребителя да се идентифицира чрез нормативно установено средство за електронна идентификация.</w:t>
      </w:r>
    </w:p>
    <w:p w14:paraId="57B5A672" w14:textId="77777777" w:rsidR="005C4519" w:rsidRPr="006F3622" w:rsidRDefault="005C4519" w:rsidP="00891689">
      <w:pPr>
        <w:pStyle w:val="ListParagraph"/>
        <w:tabs>
          <w:tab w:val="left" w:pos="709"/>
        </w:tabs>
        <w:spacing w:after="0"/>
        <w:ind w:left="142"/>
        <w:jc w:val="both"/>
        <w:rPr>
          <w:b/>
        </w:rPr>
      </w:pPr>
      <w:r w:rsidRPr="006F3622">
        <w:rPr>
          <w:b/>
        </w:rPr>
        <w:tab/>
      </w:r>
    </w:p>
    <w:p w14:paraId="4AA83012" w14:textId="717898F8" w:rsidR="00891689" w:rsidRPr="006F3622" w:rsidRDefault="005C4519" w:rsidP="00891689">
      <w:pPr>
        <w:pStyle w:val="ListParagraph"/>
        <w:tabs>
          <w:tab w:val="left" w:pos="709"/>
        </w:tabs>
        <w:spacing w:after="0"/>
        <w:ind w:left="142"/>
        <w:jc w:val="both"/>
      </w:pPr>
      <w:r w:rsidRPr="006F3622">
        <w:rPr>
          <w:b/>
        </w:rPr>
        <w:tab/>
      </w:r>
      <w:r w:rsidR="00891689" w:rsidRPr="006F3622">
        <w:rPr>
          <w:b/>
        </w:rPr>
        <w:t>Чл. 5.</w:t>
      </w:r>
      <w:r w:rsidR="00891689" w:rsidRPr="006F3622">
        <w:t xml:space="preserve"> Нормативн</w:t>
      </w:r>
      <w:r w:rsidR="0045465D">
        <w:t>о определените средства</w:t>
      </w:r>
      <w:r w:rsidR="00891689" w:rsidRPr="006F3622">
        <w:t xml:space="preserve"> за електронна идентификация са:</w:t>
      </w:r>
    </w:p>
    <w:p w14:paraId="3148ED78" w14:textId="4D5BEE1E" w:rsidR="00891689" w:rsidRPr="006F3622" w:rsidRDefault="005C4519" w:rsidP="005C4519">
      <w:pPr>
        <w:tabs>
          <w:tab w:val="left" w:pos="851"/>
        </w:tabs>
        <w:jc w:val="both"/>
      </w:pPr>
      <w:r w:rsidRPr="006F3622">
        <w:tab/>
      </w:r>
      <w:r w:rsidR="00891689" w:rsidRPr="006F3622">
        <w:t>1. електронен идентификатор, издаден по реда на Закона за електронната идентификация (ЗЕИ) -  ще се прилага след въвеждане в продукционен режим на националната схема за електронна идентификация;</w:t>
      </w:r>
    </w:p>
    <w:p w14:paraId="55CAE0A5" w14:textId="3B441A8F" w:rsidR="00891689" w:rsidRPr="006F3622" w:rsidRDefault="005C4519" w:rsidP="005C4519">
      <w:pPr>
        <w:tabs>
          <w:tab w:val="left" w:pos="851"/>
        </w:tabs>
        <w:jc w:val="both"/>
      </w:pPr>
      <w:r w:rsidRPr="006F3622">
        <w:tab/>
      </w:r>
      <w:r w:rsidR="00891689" w:rsidRPr="006F3622">
        <w:t>2. квалифициран електронен подпис (КЕП), в т.ч. облачен/мобилен квалифициран електронен подпис - прилага се в срок до една година след въвеждането в продукционен режим на националната схема за електронна идентификация;</w:t>
      </w:r>
    </w:p>
    <w:p w14:paraId="631901CA" w14:textId="759FE110" w:rsidR="00891689" w:rsidRPr="006F3622" w:rsidRDefault="005C4519" w:rsidP="005C4519">
      <w:pPr>
        <w:tabs>
          <w:tab w:val="left" w:pos="851"/>
        </w:tabs>
        <w:jc w:val="both"/>
      </w:pPr>
      <w:r w:rsidRPr="006F3622">
        <w:tab/>
      </w:r>
      <w:r w:rsidR="00891689" w:rsidRPr="006F3622">
        <w:t>3. персонален  идентификационен код (ПИК), издаван от Националния осигурителен институт (НОИ) - прилага се в срок до три години след въвеждането в продукционен режим на националната схема за електронна идентификация;</w:t>
      </w:r>
    </w:p>
    <w:p w14:paraId="51669925" w14:textId="0B1563BA" w:rsidR="00891689" w:rsidRPr="006F3622" w:rsidRDefault="005C4519" w:rsidP="005C4519">
      <w:pPr>
        <w:tabs>
          <w:tab w:val="left" w:pos="851"/>
        </w:tabs>
        <w:jc w:val="both"/>
      </w:pPr>
      <w:r w:rsidRPr="006F3622">
        <w:lastRenderedPageBreak/>
        <w:tab/>
      </w:r>
      <w:r w:rsidR="00891689" w:rsidRPr="006F3622">
        <w:t>4. персонален  идентификационен код, издаван от Националната агенция за приходите (НАП) -  прилага се в срок до три години след въвеждането в продукционен режим на националната схема за електронна идентификация;</w:t>
      </w:r>
    </w:p>
    <w:p w14:paraId="680DF675" w14:textId="5AF4E8F1" w:rsidR="00891689" w:rsidRPr="006F3622" w:rsidRDefault="005C4519" w:rsidP="005C4519">
      <w:pPr>
        <w:tabs>
          <w:tab w:val="left" w:pos="851"/>
        </w:tabs>
        <w:jc w:val="both"/>
      </w:pPr>
      <w:r w:rsidRPr="006F3622">
        <w:tab/>
      </w:r>
      <w:r w:rsidR="00891689" w:rsidRPr="006F3622">
        <w:t>5. уникален код за достъп (УКД), издаван от Националната здравноосигурителна каса (НЗОК) -  прилага се в срок до три години след въвеждането в продукционен режим на националната схема за електронна идентификация;</w:t>
      </w:r>
    </w:p>
    <w:p w14:paraId="7AB4D46C" w14:textId="29BA4FA9" w:rsidR="00891689" w:rsidRPr="006F3622" w:rsidRDefault="005C4519" w:rsidP="005C4519">
      <w:pPr>
        <w:tabs>
          <w:tab w:val="left" w:pos="851"/>
        </w:tabs>
        <w:jc w:val="both"/>
      </w:pPr>
      <w:r w:rsidRPr="006F3622">
        <w:tab/>
      </w:r>
      <w:r w:rsidR="00891689" w:rsidRPr="006F3622">
        <w:t>6. други средства за електронна идентификация, издавани и поддържани от административните органи - могат да бъдат определени с решение на Министерския съвет.</w:t>
      </w:r>
    </w:p>
    <w:p w14:paraId="52C807DD" w14:textId="33D15B12" w:rsidR="00AF5BF1" w:rsidRPr="006F3622" w:rsidRDefault="00AF5BF1" w:rsidP="008224B7">
      <w:pPr>
        <w:pStyle w:val="ListParagraph"/>
        <w:tabs>
          <w:tab w:val="left" w:pos="709"/>
        </w:tabs>
        <w:spacing w:after="0"/>
        <w:ind w:left="142"/>
        <w:jc w:val="center"/>
        <w:rPr>
          <w:b/>
        </w:rPr>
      </w:pPr>
      <w:r w:rsidRPr="006F3622">
        <w:rPr>
          <w:b/>
        </w:rPr>
        <w:t>Нива на осигуреност</w:t>
      </w:r>
      <w:r w:rsidR="0034494A" w:rsidRPr="006F3622">
        <w:rPr>
          <w:b/>
        </w:rPr>
        <w:t xml:space="preserve"> на средствата за електронна идентификация</w:t>
      </w:r>
    </w:p>
    <w:p w14:paraId="40B9EDC6" w14:textId="77777777" w:rsidR="00A3112C" w:rsidRPr="006F3622" w:rsidRDefault="00A3112C" w:rsidP="008224B7">
      <w:pPr>
        <w:pStyle w:val="ListParagraph"/>
        <w:tabs>
          <w:tab w:val="left" w:pos="709"/>
        </w:tabs>
        <w:spacing w:after="0"/>
        <w:ind w:left="142"/>
        <w:jc w:val="center"/>
        <w:rPr>
          <w:b/>
        </w:rPr>
      </w:pPr>
    </w:p>
    <w:p w14:paraId="644B8E05" w14:textId="79DD89F3" w:rsidR="00AF5BF1" w:rsidRDefault="00A3112C" w:rsidP="00A3112C">
      <w:pPr>
        <w:pStyle w:val="ListParagraph"/>
        <w:tabs>
          <w:tab w:val="left" w:pos="709"/>
        </w:tabs>
        <w:spacing w:after="0"/>
        <w:ind w:left="142"/>
        <w:jc w:val="both"/>
      </w:pPr>
      <w:r w:rsidRPr="006F3622">
        <w:rPr>
          <w:b/>
        </w:rPr>
        <w:tab/>
      </w:r>
      <w:r w:rsidR="00C80E48" w:rsidRPr="006F3622">
        <w:rPr>
          <w:b/>
        </w:rPr>
        <w:t>Чл. 6</w:t>
      </w:r>
      <w:r w:rsidRPr="006F3622">
        <w:rPr>
          <w:b/>
        </w:rPr>
        <w:t>. (1)</w:t>
      </w:r>
      <w:r w:rsidRPr="006F3622">
        <w:t xml:space="preserve"> </w:t>
      </w:r>
      <w:r w:rsidR="00AF5BF1" w:rsidRPr="006F3622">
        <w:t xml:space="preserve">Нивата на осигуреност на средствата за електронна идентификация </w:t>
      </w:r>
      <w:r w:rsidR="0026246B" w:rsidRPr="006F3622">
        <w:t>са „ниско“, „значително“ и</w:t>
      </w:r>
      <w:r w:rsidR="001C50CD" w:rsidRPr="006F3622">
        <w:t xml:space="preserve"> „високо“ и </w:t>
      </w:r>
      <w:r w:rsidR="00AF5BF1" w:rsidRPr="006F3622">
        <w:t xml:space="preserve">се определят в съответствие с чл. 8 от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наричан по-нататък "Регламент (ЕС) № 910/2014", и </w:t>
      </w:r>
      <w:r w:rsidR="00A9430B" w:rsidRPr="006F3622">
        <w:t xml:space="preserve"> с техническите спецификации, стандарти и процедури, включително технически проверки, подробно описани в Регламент за изпълнение (ЕС) 2015/1502 на Комисията от 8 септември 2015 година за определяне на минимални технически спецификации и процедури за нивата на осигуреност за средствата за електронна идентификация съгласно чл. 8, параграф 3 от Регламент (ЕС) № 910/2014.</w:t>
      </w:r>
    </w:p>
    <w:p w14:paraId="450423EE" w14:textId="77777777" w:rsidR="000075C1" w:rsidRPr="006F3622" w:rsidRDefault="000075C1" w:rsidP="00A3112C">
      <w:pPr>
        <w:pStyle w:val="ListParagraph"/>
        <w:tabs>
          <w:tab w:val="left" w:pos="709"/>
        </w:tabs>
        <w:spacing w:after="0"/>
        <w:ind w:left="142"/>
        <w:jc w:val="both"/>
      </w:pPr>
    </w:p>
    <w:p w14:paraId="177CC2A5" w14:textId="4302188D" w:rsidR="0034494A" w:rsidRPr="006F3622" w:rsidRDefault="00A9430B" w:rsidP="00A9430B">
      <w:pPr>
        <w:tabs>
          <w:tab w:val="left" w:pos="851"/>
        </w:tabs>
        <w:jc w:val="both"/>
      </w:pPr>
      <w:r w:rsidRPr="006F3622">
        <w:rPr>
          <w:b/>
        </w:rPr>
        <w:tab/>
        <w:t>(2)</w:t>
      </w:r>
      <w:r w:rsidRPr="006F3622">
        <w:t xml:space="preserve"> Н</w:t>
      </w:r>
      <w:r w:rsidR="0034494A" w:rsidRPr="006F3622">
        <w:t>иво на осигуреност „ниско“ се отнася за средство за електронна идентификация, което предоставя ограничена степен на надеждност на претендираната или заявената самоличност на дадено лице</w:t>
      </w:r>
      <w:r w:rsidRPr="006F3622">
        <w:t>.</w:t>
      </w:r>
    </w:p>
    <w:p w14:paraId="69FB1D68" w14:textId="1336F0C7" w:rsidR="0034494A" w:rsidRPr="006F3622" w:rsidRDefault="00A9430B" w:rsidP="00A9430B">
      <w:pPr>
        <w:tabs>
          <w:tab w:val="left" w:pos="851"/>
        </w:tabs>
        <w:jc w:val="both"/>
      </w:pPr>
      <w:r w:rsidRPr="006F3622">
        <w:tab/>
      </w:r>
      <w:r w:rsidRPr="006F3622">
        <w:rPr>
          <w:b/>
        </w:rPr>
        <w:t>(3)</w:t>
      </w:r>
      <w:r w:rsidRPr="006F3622">
        <w:t xml:space="preserve"> Ни</w:t>
      </w:r>
      <w:r w:rsidR="0034494A" w:rsidRPr="006F3622">
        <w:t>во на осигуреност „значително“ се отнася за средство за електронна идентификация, което предоставя значителна степен на надеждност на претендираната или заявената самоличност на дадено лице</w:t>
      </w:r>
      <w:r w:rsidRPr="006F3622">
        <w:t>.</w:t>
      </w:r>
    </w:p>
    <w:p w14:paraId="0067C613" w14:textId="3DBFCCD9" w:rsidR="0034494A" w:rsidRPr="006F3622" w:rsidRDefault="00A9430B" w:rsidP="00A9430B">
      <w:pPr>
        <w:tabs>
          <w:tab w:val="left" w:pos="851"/>
        </w:tabs>
        <w:jc w:val="both"/>
      </w:pPr>
      <w:r w:rsidRPr="006F3622">
        <w:tab/>
      </w:r>
      <w:r w:rsidRPr="006F3622">
        <w:rPr>
          <w:b/>
        </w:rPr>
        <w:t>(4)</w:t>
      </w:r>
      <w:r w:rsidRPr="006F3622">
        <w:t xml:space="preserve"> Н</w:t>
      </w:r>
      <w:r w:rsidR="0034494A" w:rsidRPr="006F3622">
        <w:t>иво на осигуреност „високо“ се отнася за средство за електронна идентификация, което предоставя по-висока степен на надеждност на претендираната или заявената самоличност на дадено лице, отколкото средствата за електронна идентификация с ниво на осигуреност „значително“.</w:t>
      </w:r>
    </w:p>
    <w:p w14:paraId="350C486E" w14:textId="4581D016" w:rsidR="00A672D0" w:rsidRPr="006F3622" w:rsidRDefault="009D1F53" w:rsidP="009D1F53">
      <w:pPr>
        <w:tabs>
          <w:tab w:val="left" w:pos="709"/>
        </w:tabs>
        <w:spacing w:after="0"/>
        <w:ind w:left="66"/>
        <w:jc w:val="both"/>
      </w:pPr>
      <w:r w:rsidRPr="006F3622">
        <w:rPr>
          <w:b/>
        </w:rPr>
        <w:tab/>
      </w:r>
      <w:r w:rsidR="00C80E48" w:rsidRPr="006F3622">
        <w:rPr>
          <w:b/>
        </w:rPr>
        <w:t>Чл. 7</w:t>
      </w:r>
      <w:r w:rsidRPr="006F3622">
        <w:rPr>
          <w:b/>
        </w:rPr>
        <w:t>. (1)</w:t>
      </w:r>
      <w:r w:rsidRPr="006F3622">
        <w:t xml:space="preserve"> </w:t>
      </w:r>
      <w:r w:rsidR="00A672D0" w:rsidRPr="006F3622">
        <w:t>Когато средството за електронна идентификация отговаря на изисквания</w:t>
      </w:r>
      <w:r w:rsidR="00224E18">
        <w:t>та</w:t>
      </w:r>
      <w:r w:rsidR="00A672D0" w:rsidRPr="006F3622">
        <w:t xml:space="preserve"> за по-високо ниво на осигуреност, се счит</w:t>
      </w:r>
      <w:r w:rsidR="00224E18">
        <w:t>а, че то изпълнява равностойно</w:t>
      </w:r>
      <w:r w:rsidR="00A672D0" w:rsidRPr="006F3622">
        <w:t xml:space="preserve"> изискванията за всички по-ниски нива на осигуреност.</w:t>
      </w:r>
    </w:p>
    <w:p w14:paraId="681D5E3C" w14:textId="77777777" w:rsidR="00D041D9" w:rsidRDefault="008F084D" w:rsidP="008F084D">
      <w:pPr>
        <w:tabs>
          <w:tab w:val="left" w:pos="709"/>
        </w:tabs>
        <w:spacing w:after="0"/>
        <w:jc w:val="both"/>
      </w:pPr>
      <w:r w:rsidRPr="006F3622">
        <w:tab/>
      </w:r>
    </w:p>
    <w:p w14:paraId="305F4680" w14:textId="4047DE51" w:rsidR="00A672D0" w:rsidRDefault="00D041D9" w:rsidP="008F084D">
      <w:pPr>
        <w:tabs>
          <w:tab w:val="left" w:pos="709"/>
        </w:tabs>
        <w:spacing w:after="0"/>
        <w:jc w:val="both"/>
      </w:pPr>
      <w:r>
        <w:tab/>
      </w:r>
      <w:r w:rsidR="008F084D" w:rsidRPr="006F3622">
        <w:rPr>
          <w:b/>
        </w:rPr>
        <w:t>(2)</w:t>
      </w:r>
      <w:r w:rsidR="008F084D" w:rsidRPr="006F3622">
        <w:t xml:space="preserve"> </w:t>
      </w:r>
      <w:r w:rsidR="00A672D0" w:rsidRPr="006F3622">
        <w:t>Когато за заявяване на ЕАУ се изисква идентификация със средство с „ниско“ или „значително“ ниво на осигуреност, услугата може да бъде заявена и с всяко средство с по-високо ниво на осигуреност, съответно „значително“ или „високо“.</w:t>
      </w:r>
    </w:p>
    <w:p w14:paraId="2028A4C4" w14:textId="77777777" w:rsidR="00D041D9" w:rsidRDefault="000158AB" w:rsidP="000158AB">
      <w:pPr>
        <w:tabs>
          <w:tab w:val="left" w:pos="709"/>
        </w:tabs>
        <w:jc w:val="both"/>
      </w:pPr>
      <w:r w:rsidRPr="003764C2">
        <w:tab/>
      </w:r>
    </w:p>
    <w:p w14:paraId="6A0C42D0" w14:textId="718C4F5B" w:rsidR="000158AB" w:rsidRPr="003764C2" w:rsidRDefault="00D041D9" w:rsidP="000158AB">
      <w:pPr>
        <w:tabs>
          <w:tab w:val="left" w:pos="709"/>
        </w:tabs>
        <w:jc w:val="both"/>
        <w:rPr>
          <w:rFonts w:cs="Times New Roman"/>
          <w:iCs/>
          <w:szCs w:val="24"/>
        </w:rPr>
      </w:pPr>
      <w:r>
        <w:tab/>
      </w:r>
      <w:r w:rsidR="000158AB" w:rsidRPr="00D128ED">
        <w:rPr>
          <w:b/>
        </w:rPr>
        <w:t>(3)</w:t>
      </w:r>
      <w:r w:rsidR="000158AB" w:rsidRPr="003764C2">
        <w:t xml:space="preserve"> </w:t>
      </w:r>
      <w:r w:rsidR="000158AB" w:rsidRPr="003764C2">
        <w:rPr>
          <w:rFonts w:cs="Times New Roman"/>
          <w:iCs/>
          <w:szCs w:val="24"/>
        </w:rPr>
        <w:t xml:space="preserve">Когато за заявяване на ЕАУ се изисква идентификация със средство със „значително“ ниво на осигуреност, услугата може да бъде заявена и с всяко средство с по-ниско ниво на осигуреност (ПИК на НАП, ПИК на НОИ, УКД на НЗОК), за което е въведена допълнителна еднократна парола (втори фактор) за автентикация, генерирана от модула за </w:t>
      </w:r>
      <w:r w:rsidR="000158AB" w:rsidRPr="003764C2">
        <w:rPr>
          <w:rFonts w:cs="Times New Roman"/>
          <w:iCs/>
          <w:szCs w:val="24"/>
        </w:rPr>
        <w:lastRenderedPageBreak/>
        <w:t xml:space="preserve">двуфакторна автентикация, част от хоризонталната система за еАвтентикация, изградена и поддържана от </w:t>
      </w:r>
      <w:r w:rsidR="00D45026">
        <w:rPr>
          <w:rFonts w:cs="Times New Roman"/>
          <w:iCs/>
          <w:szCs w:val="24"/>
        </w:rPr>
        <w:t>Държавна агенция за електронно управление (</w:t>
      </w:r>
      <w:r w:rsidR="000158AB" w:rsidRPr="003764C2">
        <w:rPr>
          <w:rFonts w:cs="Times New Roman"/>
          <w:iCs/>
          <w:szCs w:val="24"/>
        </w:rPr>
        <w:t>ДАЕУ</w:t>
      </w:r>
      <w:r w:rsidR="00D45026">
        <w:rPr>
          <w:rFonts w:cs="Times New Roman"/>
          <w:iCs/>
          <w:szCs w:val="24"/>
        </w:rPr>
        <w:t>)</w:t>
      </w:r>
      <w:r w:rsidR="000158AB" w:rsidRPr="003764C2">
        <w:rPr>
          <w:rFonts w:cs="Times New Roman"/>
          <w:iCs/>
          <w:szCs w:val="24"/>
        </w:rPr>
        <w:t>. Еднократната парола може да бъде кратко текстово съобщение (sms); еднократна хипервръзка на електронна поща или еднократна, базирана на време парола (TOTP). Достъп до ЕАУ се получава само след успешното представяне на втория фактор към хоризонталната система за еАвт</w:t>
      </w:r>
      <w:r w:rsidR="001C1CFC">
        <w:rPr>
          <w:rFonts w:cs="Times New Roman"/>
          <w:iCs/>
          <w:szCs w:val="24"/>
        </w:rPr>
        <w:t>ентикация</w:t>
      </w:r>
      <w:r w:rsidR="000158AB" w:rsidRPr="003764C2">
        <w:rPr>
          <w:rFonts w:cs="Times New Roman"/>
          <w:iCs/>
          <w:szCs w:val="24"/>
        </w:rPr>
        <w:t>.</w:t>
      </w:r>
    </w:p>
    <w:p w14:paraId="12463DCB" w14:textId="77777777" w:rsidR="00A40E19" w:rsidRDefault="00A40E19" w:rsidP="0026246B">
      <w:pPr>
        <w:pStyle w:val="ListParagraph"/>
        <w:tabs>
          <w:tab w:val="left" w:pos="709"/>
        </w:tabs>
        <w:spacing w:after="0"/>
        <w:ind w:left="142"/>
        <w:jc w:val="both"/>
        <w:rPr>
          <w:b/>
          <w:color w:val="C45911" w:themeColor="accent2" w:themeShade="BF"/>
        </w:rPr>
      </w:pPr>
    </w:p>
    <w:p w14:paraId="77942CA3" w14:textId="44D9CF7F" w:rsidR="005B3F0B" w:rsidRDefault="0026246B" w:rsidP="0026246B">
      <w:pPr>
        <w:pStyle w:val="ListParagraph"/>
        <w:tabs>
          <w:tab w:val="left" w:pos="709"/>
        </w:tabs>
        <w:spacing w:after="0"/>
        <w:ind w:left="142"/>
        <w:jc w:val="both"/>
      </w:pPr>
      <w:r w:rsidRPr="006F3622">
        <w:rPr>
          <w:b/>
          <w:color w:val="C45911" w:themeColor="accent2" w:themeShade="BF"/>
        </w:rPr>
        <w:tab/>
      </w:r>
      <w:r w:rsidR="00C80E48" w:rsidRPr="006F3622">
        <w:rPr>
          <w:b/>
        </w:rPr>
        <w:t>Чл. 8</w:t>
      </w:r>
      <w:r w:rsidR="008F084D" w:rsidRPr="006F3622">
        <w:rPr>
          <w:b/>
        </w:rPr>
        <w:t>.</w:t>
      </w:r>
      <w:r w:rsidR="008F084D" w:rsidRPr="006F3622">
        <w:t xml:space="preserve"> </w:t>
      </w:r>
      <w:r w:rsidR="005B3F0B" w:rsidRPr="006F3622">
        <w:t>Нивото на осигуреност на средствата за електронна идентификация се определя въз основа на надеждността и качеството на следните елементи:</w:t>
      </w:r>
    </w:p>
    <w:p w14:paraId="7ECE06C7" w14:textId="77777777" w:rsidR="007F0438" w:rsidRPr="006F3622" w:rsidRDefault="007F0438" w:rsidP="0026246B">
      <w:pPr>
        <w:pStyle w:val="ListParagraph"/>
        <w:tabs>
          <w:tab w:val="left" w:pos="709"/>
        </w:tabs>
        <w:spacing w:after="0"/>
        <w:ind w:left="142"/>
        <w:jc w:val="both"/>
      </w:pPr>
    </w:p>
    <w:p w14:paraId="7F2CC8F8" w14:textId="07319C5D" w:rsidR="00BF49DD" w:rsidRDefault="008F084D" w:rsidP="008F084D">
      <w:pPr>
        <w:pStyle w:val="ListParagraph"/>
        <w:tabs>
          <w:tab w:val="left" w:pos="851"/>
        </w:tabs>
        <w:ind w:left="644"/>
        <w:jc w:val="both"/>
      </w:pPr>
      <w:r w:rsidRPr="006F3622">
        <w:t>1</w:t>
      </w:r>
      <w:r w:rsidR="00BF49DD" w:rsidRPr="006F3622">
        <w:t>.</w:t>
      </w:r>
      <w:r w:rsidR="000C5095">
        <w:t xml:space="preserve"> в</w:t>
      </w:r>
      <w:r w:rsidR="00BF49DD">
        <w:t>писване</w:t>
      </w:r>
      <w:r w:rsidR="000C5095">
        <w:t>:</w:t>
      </w:r>
    </w:p>
    <w:p w14:paraId="4C782826" w14:textId="04AC008E" w:rsidR="00835008" w:rsidRPr="006F3622" w:rsidRDefault="00BF49DD" w:rsidP="008F084D">
      <w:pPr>
        <w:pStyle w:val="ListParagraph"/>
        <w:tabs>
          <w:tab w:val="left" w:pos="851"/>
        </w:tabs>
        <w:ind w:left="644"/>
        <w:jc w:val="both"/>
      </w:pPr>
      <w:r>
        <w:t xml:space="preserve">а) </w:t>
      </w:r>
      <w:r w:rsidR="005B3F0B" w:rsidRPr="006F3622">
        <w:t xml:space="preserve">процедура за заявяване </w:t>
      </w:r>
      <w:r w:rsidR="002B25EC" w:rsidRPr="006F3622">
        <w:t xml:space="preserve">на средство за електронна идентификация </w:t>
      </w:r>
      <w:r w:rsidR="005B3F0B" w:rsidRPr="006F3622">
        <w:t>и регистриране;</w:t>
      </w:r>
    </w:p>
    <w:p w14:paraId="7C97E31C" w14:textId="15484C1E" w:rsidR="00835008" w:rsidRDefault="00BF49DD" w:rsidP="008F084D">
      <w:pPr>
        <w:pStyle w:val="ListParagraph"/>
        <w:tabs>
          <w:tab w:val="left" w:pos="851"/>
        </w:tabs>
        <w:ind w:left="644"/>
        <w:jc w:val="both"/>
      </w:pPr>
      <w:r>
        <w:t>б)</w:t>
      </w:r>
      <w:r w:rsidR="008F084D" w:rsidRPr="006F3622">
        <w:t xml:space="preserve"> </w:t>
      </w:r>
      <w:r w:rsidR="005B3F0B" w:rsidRPr="006F3622">
        <w:t>процедура за доказване и проверка на самоличността на физически и юридически лица, подаващи искане за издаване на средство за електронна идентификация;</w:t>
      </w:r>
    </w:p>
    <w:p w14:paraId="40E6FF86" w14:textId="77777777" w:rsidR="007F0438" w:rsidRPr="006F3622" w:rsidRDefault="007F0438" w:rsidP="008F084D">
      <w:pPr>
        <w:pStyle w:val="ListParagraph"/>
        <w:tabs>
          <w:tab w:val="left" w:pos="851"/>
        </w:tabs>
        <w:ind w:left="644"/>
        <w:jc w:val="both"/>
      </w:pPr>
    </w:p>
    <w:p w14:paraId="07B88D65" w14:textId="488EE012" w:rsidR="005B3F0B" w:rsidRPr="006F3622" w:rsidRDefault="00BF49DD" w:rsidP="008F084D">
      <w:pPr>
        <w:pStyle w:val="ListParagraph"/>
        <w:tabs>
          <w:tab w:val="left" w:pos="851"/>
        </w:tabs>
        <w:ind w:left="644"/>
        <w:jc w:val="both"/>
      </w:pPr>
      <w:r>
        <w:t>2.</w:t>
      </w:r>
      <w:r w:rsidR="008F084D" w:rsidRPr="006F3622">
        <w:t xml:space="preserve"> </w:t>
      </w:r>
      <w:r w:rsidR="00A17F89" w:rsidRPr="006F3622">
        <w:t>у</w:t>
      </w:r>
      <w:r w:rsidR="005B3F0B" w:rsidRPr="006F3622">
        <w:t>правление на средствата за електронна идентификация</w:t>
      </w:r>
      <w:r w:rsidR="000C5095">
        <w:t>:</w:t>
      </w:r>
      <w:r w:rsidR="008F084D" w:rsidRPr="006F3622">
        <w:t xml:space="preserve"> </w:t>
      </w:r>
      <w:r w:rsidR="005B3F0B" w:rsidRPr="006F3622">
        <w:t xml:space="preserve"> </w:t>
      </w:r>
    </w:p>
    <w:p w14:paraId="56D69009" w14:textId="2C36F765" w:rsidR="00835008" w:rsidRPr="006F3622" w:rsidRDefault="00BF49DD" w:rsidP="008F084D">
      <w:pPr>
        <w:pStyle w:val="ListParagraph"/>
        <w:tabs>
          <w:tab w:val="left" w:pos="851"/>
        </w:tabs>
        <w:ind w:left="644"/>
        <w:jc w:val="both"/>
      </w:pPr>
      <w:r>
        <w:t>а)</w:t>
      </w:r>
      <w:r w:rsidR="008F084D" w:rsidRPr="006F3622">
        <w:t xml:space="preserve"> </w:t>
      </w:r>
      <w:r w:rsidR="005B3F0B" w:rsidRPr="006F3622">
        <w:t>характеристики и структура на средствата за електронна идентификация;</w:t>
      </w:r>
    </w:p>
    <w:p w14:paraId="7E5A6665" w14:textId="53BDA3E6" w:rsidR="00835008" w:rsidRPr="006F3622" w:rsidRDefault="00BF49DD" w:rsidP="008F084D">
      <w:pPr>
        <w:pStyle w:val="ListParagraph"/>
        <w:tabs>
          <w:tab w:val="left" w:pos="851"/>
        </w:tabs>
        <w:ind w:left="644"/>
        <w:jc w:val="both"/>
      </w:pPr>
      <w:r>
        <w:t>б)</w:t>
      </w:r>
      <w:r w:rsidR="008F084D" w:rsidRPr="006F3622">
        <w:t xml:space="preserve"> </w:t>
      </w:r>
      <w:r w:rsidR="005B3F0B" w:rsidRPr="006F3622">
        <w:t>издаване, предоставяне и активиране</w:t>
      </w:r>
      <w:r w:rsidR="008F084D" w:rsidRPr="006F3622">
        <w:t xml:space="preserve"> на </w:t>
      </w:r>
      <w:r w:rsidR="002B25EC" w:rsidRPr="006F3622">
        <w:t>средство за електронна идентификация</w:t>
      </w:r>
      <w:r w:rsidR="008F084D" w:rsidRPr="006F3622">
        <w:t xml:space="preserve"> </w:t>
      </w:r>
      <w:r w:rsidR="005B3F0B" w:rsidRPr="006F3622">
        <w:t>;</w:t>
      </w:r>
    </w:p>
    <w:p w14:paraId="3A0B32FE" w14:textId="2D458FF7" w:rsidR="00835008" w:rsidRPr="006F3622" w:rsidRDefault="00BF49DD" w:rsidP="008F084D">
      <w:pPr>
        <w:pStyle w:val="ListParagraph"/>
        <w:tabs>
          <w:tab w:val="left" w:pos="851"/>
        </w:tabs>
        <w:ind w:left="644"/>
        <w:jc w:val="both"/>
      </w:pPr>
      <w:r>
        <w:t>в)</w:t>
      </w:r>
      <w:r w:rsidR="008F084D" w:rsidRPr="006F3622">
        <w:t xml:space="preserve"> </w:t>
      </w:r>
      <w:r w:rsidR="005B3F0B" w:rsidRPr="006F3622">
        <w:t>временно спиране на действието, отнемане и повторно активиране;</w:t>
      </w:r>
    </w:p>
    <w:p w14:paraId="47406EE1" w14:textId="60B0AF4D" w:rsidR="00835008" w:rsidRDefault="00BF49DD" w:rsidP="008F084D">
      <w:pPr>
        <w:pStyle w:val="ListParagraph"/>
        <w:tabs>
          <w:tab w:val="left" w:pos="851"/>
        </w:tabs>
        <w:ind w:left="644"/>
        <w:jc w:val="both"/>
      </w:pPr>
      <w:r>
        <w:t>г)</w:t>
      </w:r>
      <w:r w:rsidR="008F084D" w:rsidRPr="006F3622">
        <w:t xml:space="preserve"> </w:t>
      </w:r>
      <w:r w:rsidR="005B3F0B" w:rsidRPr="006F3622">
        <w:t>подновяване и замяна</w:t>
      </w:r>
      <w:r w:rsidR="008F084D" w:rsidRPr="006F3622">
        <w:t>;</w:t>
      </w:r>
    </w:p>
    <w:p w14:paraId="78E57BA3" w14:textId="77777777" w:rsidR="007F0438" w:rsidRPr="006F3622" w:rsidRDefault="007F0438" w:rsidP="008F084D">
      <w:pPr>
        <w:pStyle w:val="ListParagraph"/>
        <w:tabs>
          <w:tab w:val="left" w:pos="851"/>
        </w:tabs>
        <w:ind w:left="644"/>
        <w:jc w:val="both"/>
      </w:pPr>
    </w:p>
    <w:p w14:paraId="02169CD6" w14:textId="7541FC21" w:rsidR="005B3F0B" w:rsidRPr="006F3622" w:rsidRDefault="00BF49DD" w:rsidP="008F084D">
      <w:pPr>
        <w:pStyle w:val="ListParagraph"/>
        <w:tabs>
          <w:tab w:val="left" w:pos="851"/>
        </w:tabs>
        <w:ind w:left="644"/>
        <w:jc w:val="both"/>
      </w:pPr>
      <w:r>
        <w:t xml:space="preserve">3. </w:t>
      </w:r>
      <w:r w:rsidR="008F084D" w:rsidRPr="006F3622">
        <w:t xml:space="preserve"> </w:t>
      </w:r>
      <w:r w:rsidR="00A17F89" w:rsidRPr="006F3622">
        <w:t>у</w:t>
      </w:r>
      <w:r w:rsidR="005B3F0B" w:rsidRPr="006F3622">
        <w:t>достоверяване на автентичност</w:t>
      </w:r>
      <w:r w:rsidR="000C5095">
        <w:t>:</w:t>
      </w:r>
    </w:p>
    <w:p w14:paraId="388B6D9F" w14:textId="35EEF908" w:rsidR="005B3F0B" w:rsidRDefault="00BF49DD" w:rsidP="008F084D">
      <w:pPr>
        <w:pStyle w:val="ListParagraph"/>
        <w:tabs>
          <w:tab w:val="left" w:pos="851"/>
        </w:tabs>
        <w:ind w:left="644"/>
        <w:jc w:val="both"/>
      </w:pPr>
      <w:r>
        <w:t>а)</w:t>
      </w:r>
      <w:r w:rsidR="008F084D" w:rsidRPr="006F3622">
        <w:t xml:space="preserve"> </w:t>
      </w:r>
      <w:r w:rsidR="005B3F0B" w:rsidRPr="006F3622">
        <w:t xml:space="preserve">механизъм за удостоверяване на автентичност, чрез който </w:t>
      </w:r>
      <w:r w:rsidR="00F85AC3">
        <w:t>потребителят</w:t>
      </w:r>
      <w:r w:rsidR="005B3F0B" w:rsidRPr="006F3622">
        <w:t xml:space="preserve"> на ЕАУ използва своето средство за електронна идентификация, за да потвърди самоличност</w:t>
      </w:r>
      <w:r w:rsidR="008F084D" w:rsidRPr="006F3622">
        <w:t>та си пред</w:t>
      </w:r>
      <w:r w:rsidR="005B3F0B" w:rsidRPr="006F3622">
        <w:t xml:space="preserve"> доверяваща се страна;</w:t>
      </w:r>
    </w:p>
    <w:p w14:paraId="16C512C1" w14:textId="77777777" w:rsidR="007F0438" w:rsidRPr="006F3622" w:rsidRDefault="007F0438" w:rsidP="008F084D">
      <w:pPr>
        <w:pStyle w:val="ListParagraph"/>
        <w:tabs>
          <w:tab w:val="left" w:pos="851"/>
        </w:tabs>
        <w:ind w:left="644"/>
        <w:jc w:val="both"/>
      </w:pPr>
    </w:p>
    <w:p w14:paraId="055D4251" w14:textId="0DD43C62" w:rsidR="0026246B" w:rsidRPr="006F3622" w:rsidRDefault="000C5095" w:rsidP="008F084D">
      <w:pPr>
        <w:pStyle w:val="ListParagraph"/>
        <w:tabs>
          <w:tab w:val="left" w:pos="851"/>
        </w:tabs>
        <w:ind w:left="644"/>
        <w:jc w:val="both"/>
      </w:pPr>
      <w:r>
        <w:t>4.</w:t>
      </w:r>
      <w:r w:rsidR="008F084D" w:rsidRPr="006F3622">
        <w:t xml:space="preserve"> </w:t>
      </w:r>
      <w:r w:rsidR="00A17F89" w:rsidRPr="006F3622">
        <w:t>у</w:t>
      </w:r>
      <w:r w:rsidR="005B3F0B" w:rsidRPr="006F3622">
        <w:t>правление и организация</w:t>
      </w:r>
      <w:r>
        <w:t>:</w:t>
      </w:r>
      <w:r w:rsidR="008F084D" w:rsidRPr="006F3622">
        <w:t xml:space="preserve"> </w:t>
      </w:r>
    </w:p>
    <w:p w14:paraId="71537AEE" w14:textId="40E6AC01" w:rsidR="0026246B" w:rsidRPr="006F3622" w:rsidRDefault="000C5095" w:rsidP="008F084D">
      <w:pPr>
        <w:pStyle w:val="ListParagraph"/>
        <w:tabs>
          <w:tab w:val="left" w:pos="851"/>
        </w:tabs>
        <w:ind w:left="644"/>
        <w:jc w:val="both"/>
      </w:pPr>
      <w:r>
        <w:t>а)</w:t>
      </w:r>
      <w:r w:rsidR="008F084D" w:rsidRPr="006F3622">
        <w:t xml:space="preserve"> </w:t>
      </w:r>
      <w:r w:rsidR="005B3F0B" w:rsidRPr="006F3622">
        <w:t>управление на риска;</w:t>
      </w:r>
      <w:r w:rsidR="008F084D" w:rsidRPr="006F3622">
        <w:t xml:space="preserve"> </w:t>
      </w:r>
    </w:p>
    <w:p w14:paraId="37A5A042" w14:textId="73FD7C04" w:rsidR="005B3F0B" w:rsidRPr="006F3622" w:rsidRDefault="000C5095" w:rsidP="008F084D">
      <w:pPr>
        <w:pStyle w:val="ListParagraph"/>
        <w:tabs>
          <w:tab w:val="left" w:pos="851"/>
        </w:tabs>
        <w:ind w:left="644"/>
        <w:jc w:val="both"/>
      </w:pPr>
      <w:r>
        <w:t>б)</w:t>
      </w:r>
      <w:r w:rsidR="008F084D" w:rsidRPr="006F3622">
        <w:t xml:space="preserve"> </w:t>
      </w:r>
      <w:r w:rsidR="005B3F0B" w:rsidRPr="006F3622">
        <w:t>публикувани известия и информация за потребителите;</w:t>
      </w:r>
    </w:p>
    <w:p w14:paraId="6801E023" w14:textId="5E8B952B" w:rsidR="005B3F0B" w:rsidRPr="006F3622" w:rsidRDefault="000C5095" w:rsidP="008F084D">
      <w:pPr>
        <w:pStyle w:val="ListParagraph"/>
        <w:tabs>
          <w:tab w:val="left" w:pos="851"/>
        </w:tabs>
        <w:ind w:left="644"/>
        <w:jc w:val="both"/>
      </w:pPr>
      <w:r>
        <w:t>в)</w:t>
      </w:r>
      <w:r w:rsidR="008F084D" w:rsidRPr="006F3622">
        <w:t xml:space="preserve"> </w:t>
      </w:r>
      <w:r w:rsidR="005B3F0B" w:rsidRPr="006F3622">
        <w:t>управление на информационната сигурност;</w:t>
      </w:r>
    </w:p>
    <w:p w14:paraId="2B008897" w14:textId="2BE68C3B" w:rsidR="005B3F0B" w:rsidRPr="006F3622" w:rsidRDefault="000C5095" w:rsidP="008F084D">
      <w:pPr>
        <w:pStyle w:val="ListParagraph"/>
        <w:tabs>
          <w:tab w:val="left" w:pos="851"/>
        </w:tabs>
        <w:ind w:left="644"/>
        <w:jc w:val="both"/>
      </w:pPr>
      <w:r>
        <w:t>г)</w:t>
      </w:r>
      <w:r w:rsidR="008F084D" w:rsidRPr="006F3622">
        <w:t xml:space="preserve"> </w:t>
      </w:r>
      <w:r w:rsidR="005B3F0B" w:rsidRPr="006F3622">
        <w:t>водене на отчетност;</w:t>
      </w:r>
    </w:p>
    <w:p w14:paraId="4E84D595" w14:textId="469E85B4" w:rsidR="005B3F0B" w:rsidRPr="006F3622" w:rsidRDefault="000C5095" w:rsidP="000F436C">
      <w:pPr>
        <w:pStyle w:val="ListParagraph"/>
        <w:tabs>
          <w:tab w:val="left" w:pos="851"/>
        </w:tabs>
        <w:ind w:left="644"/>
        <w:jc w:val="both"/>
      </w:pPr>
      <w:r>
        <w:t>д)</w:t>
      </w:r>
      <w:r w:rsidR="000F436C" w:rsidRPr="006F3622">
        <w:t xml:space="preserve"> </w:t>
      </w:r>
      <w:r w:rsidR="005B3F0B" w:rsidRPr="006F3622">
        <w:t>съоръжения и персонал;</w:t>
      </w:r>
    </w:p>
    <w:p w14:paraId="59028EF7" w14:textId="4A7C352A" w:rsidR="005B3F0B" w:rsidRPr="006F3622" w:rsidRDefault="000C5095" w:rsidP="000F436C">
      <w:pPr>
        <w:pStyle w:val="ListParagraph"/>
        <w:tabs>
          <w:tab w:val="left" w:pos="851"/>
        </w:tabs>
        <w:ind w:left="644"/>
        <w:jc w:val="both"/>
      </w:pPr>
      <w:r>
        <w:t>е)</w:t>
      </w:r>
      <w:r w:rsidR="000F436C" w:rsidRPr="006F3622">
        <w:t xml:space="preserve"> </w:t>
      </w:r>
      <w:r w:rsidR="005B3F0B" w:rsidRPr="006F3622">
        <w:t>технически проверки;</w:t>
      </w:r>
    </w:p>
    <w:p w14:paraId="3C21BB28" w14:textId="1A105FE1" w:rsidR="008224B7" w:rsidRPr="006F3622" w:rsidRDefault="000C5095" w:rsidP="000F436C">
      <w:pPr>
        <w:pStyle w:val="ListParagraph"/>
        <w:tabs>
          <w:tab w:val="left" w:pos="851"/>
        </w:tabs>
        <w:ind w:left="644"/>
        <w:jc w:val="both"/>
      </w:pPr>
      <w:r>
        <w:t>ж)</w:t>
      </w:r>
      <w:r w:rsidR="000F436C" w:rsidRPr="006F3622">
        <w:t xml:space="preserve"> </w:t>
      </w:r>
      <w:r w:rsidR="005B3F0B" w:rsidRPr="006F3622">
        <w:t>спазване и одит.</w:t>
      </w:r>
    </w:p>
    <w:p w14:paraId="5F9EC84E" w14:textId="77777777" w:rsidR="003445ED" w:rsidRPr="006F3622" w:rsidRDefault="003445ED" w:rsidP="00972CA7">
      <w:pPr>
        <w:pStyle w:val="ListParagraph"/>
        <w:tabs>
          <w:tab w:val="left" w:pos="709"/>
        </w:tabs>
        <w:spacing w:after="0"/>
        <w:ind w:left="142"/>
        <w:jc w:val="center"/>
        <w:rPr>
          <w:rFonts w:eastAsia="Calibri" w:cs="Times New Roman"/>
          <w:b/>
          <w:szCs w:val="24"/>
        </w:rPr>
      </w:pPr>
    </w:p>
    <w:p w14:paraId="2DE96F11" w14:textId="68D4705D" w:rsidR="00972CA7" w:rsidRPr="006F3622" w:rsidRDefault="00972CA7" w:rsidP="00972CA7">
      <w:pPr>
        <w:pStyle w:val="ListParagraph"/>
        <w:tabs>
          <w:tab w:val="left" w:pos="709"/>
        </w:tabs>
        <w:spacing w:after="0"/>
        <w:ind w:left="142"/>
        <w:jc w:val="center"/>
        <w:rPr>
          <w:rFonts w:eastAsia="Calibri" w:cs="Times New Roman"/>
          <w:b/>
          <w:szCs w:val="24"/>
        </w:rPr>
      </w:pPr>
      <w:r w:rsidRPr="006F3622">
        <w:rPr>
          <w:rFonts w:eastAsia="Calibri" w:cs="Times New Roman"/>
          <w:b/>
          <w:szCs w:val="24"/>
        </w:rPr>
        <w:t>Глава Трета</w:t>
      </w:r>
    </w:p>
    <w:p w14:paraId="6F569D10" w14:textId="77777777" w:rsidR="00972CA7" w:rsidRPr="006F3622" w:rsidRDefault="00972CA7" w:rsidP="00972CA7">
      <w:pPr>
        <w:pStyle w:val="ListParagraph"/>
        <w:tabs>
          <w:tab w:val="left" w:pos="709"/>
        </w:tabs>
        <w:spacing w:after="0"/>
        <w:ind w:left="142"/>
        <w:jc w:val="center"/>
        <w:rPr>
          <w:rFonts w:eastAsia="Calibri" w:cs="Times New Roman"/>
          <w:b/>
          <w:szCs w:val="24"/>
        </w:rPr>
      </w:pPr>
    </w:p>
    <w:p w14:paraId="6D447789" w14:textId="6FAC8EAE" w:rsidR="00E26CDA" w:rsidRPr="0003274B" w:rsidRDefault="00A81D56" w:rsidP="00972CA7">
      <w:pPr>
        <w:pStyle w:val="ListParagraph"/>
        <w:tabs>
          <w:tab w:val="left" w:pos="709"/>
        </w:tabs>
        <w:spacing w:after="0"/>
        <w:ind w:left="142"/>
        <w:jc w:val="center"/>
        <w:rPr>
          <w:rFonts w:eastAsia="Calibri" w:cs="Times New Roman"/>
          <w:b/>
          <w:szCs w:val="24"/>
        </w:rPr>
      </w:pPr>
      <w:r w:rsidRPr="007F0438">
        <w:rPr>
          <w:rFonts w:eastAsia="Calibri" w:cs="Times New Roman"/>
          <w:b/>
          <w:szCs w:val="24"/>
        </w:rPr>
        <w:t>Метод за о</w:t>
      </w:r>
      <w:r w:rsidR="00FE21A9" w:rsidRPr="007F0438">
        <w:rPr>
          <w:rFonts w:eastAsia="Calibri" w:cs="Times New Roman"/>
          <w:b/>
          <w:szCs w:val="24"/>
        </w:rPr>
        <w:t xml:space="preserve">пределяне </w:t>
      </w:r>
      <w:r w:rsidR="00FD70E2">
        <w:rPr>
          <w:rFonts w:eastAsia="Calibri" w:cs="Times New Roman"/>
          <w:b/>
          <w:szCs w:val="24"/>
        </w:rPr>
        <w:t xml:space="preserve">на </w:t>
      </w:r>
      <w:r w:rsidR="001A33B9" w:rsidRPr="007F0438">
        <w:rPr>
          <w:rFonts w:eastAsia="Calibri" w:cs="Times New Roman"/>
          <w:b/>
          <w:szCs w:val="24"/>
        </w:rPr>
        <w:t>ниво</w:t>
      </w:r>
      <w:r w:rsidR="00FD70E2">
        <w:rPr>
          <w:rFonts w:eastAsia="Calibri" w:cs="Times New Roman"/>
          <w:b/>
          <w:szCs w:val="24"/>
        </w:rPr>
        <w:t>то</w:t>
      </w:r>
      <w:r w:rsidR="001A33B9" w:rsidRPr="007F0438">
        <w:rPr>
          <w:rFonts w:eastAsia="Calibri" w:cs="Times New Roman"/>
          <w:b/>
          <w:szCs w:val="24"/>
        </w:rPr>
        <w:t xml:space="preserve"> на </w:t>
      </w:r>
      <w:r w:rsidR="001A33B9" w:rsidRPr="00590154">
        <w:rPr>
          <w:rFonts w:eastAsia="Calibri" w:cs="Times New Roman"/>
          <w:b/>
          <w:szCs w:val="24"/>
        </w:rPr>
        <w:t>осигуреност</w:t>
      </w:r>
      <w:r w:rsidR="00287192" w:rsidRPr="00590154">
        <w:rPr>
          <w:rFonts w:eastAsia="Calibri" w:cs="Times New Roman"/>
          <w:b/>
          <w:szCs w:val="24"/>
        </w:rPr>
        <w:t xml:space="preserve"> на средствата за електронна идентификация </w:t>
      </w:r>
      <w:r w:rsidR="00FA7F74" w:rsidRPr="0003274B">
        <w:rPr>
          <w:rFonts w:cs="Times New Roman"/>
          <w:b/>
          <w:szCs w:val="24"/>
        </w:rPr>
        <w:t>при заявяване и предоставяне на ЕАУ</w:t>
      </w:r>
    </w:p>
    <w:p w14:paraId="0ED02847" w14:textId="77777777" w:rsidR="00091FEA" w:rsidRPr="006F3622" w:rsidRDefault="00091FEA" w:rsidP="00091FEA">
      <w:pPr>
        <w:pStyle w:val="ListParagraph"/>
        <w:spacing w:line="256" w:lineRule="auto"/>
        <w:ind w:left="862"/>
        <w:jc w:val="both"/>
        <w:rPr>
          <w:rFonts w:eastAsia="Calibri" w:cs="Times New Roman"/>
          <w:b/>
          <w:szCs w:val="24"/>
        </w:rPr>
      </w:pPr>
    </w:p>
    <w:p w14:paraId="4147D421" w14:textId="25E78CEF" w:rsidR="00FE21A9" w:rsidRPr="006F3622" w:rsidRDefault="003534F5" w:rsidP="003534F5">
      <w:pPr>
        <w:pStyle w:val="ListParagraph"/>
        <w:tabs>
          <w:tab w:val="left" w:pos="709"/>
        </w:tabs>
        <w:spacing w:after="0"/>
        <w:ind w:left="142"/>
        <w:jc w:val="both"/>
      </w:pPr>
      <w:r w:rsidRPr="006F3622">
        <w:rPr>
          <w:b/>
        </w:rPr>
        <w:tab/>
        <w:t>Чл. 9.</w:t>
      </w:r>
      <w:r w:rsidRPr="006F3622">
        <w:t xml:space="preserve"> </w:t>
      </w:r>
      <w:r w:rsidR="00FE21A9" w:rsidRPr="006F3622">
        <w:t>При определяне на средство</w:t>
      </w:r>
      <w:r w:rsidR="001A7CC0">
        <w:t>то</w:t>
      </w:r>
      <w:r w:rsidR="00FE21A9" w:rsidRPr="006F3622">
        <w:t xml:space="preserve"> за електронна идентификация, което ще се използва при заявяване на електронни административни услуги, е необходимо да се имат предвид </w:t>
      </w:r>
      <w:r w:rsidR="00561151" w:rsidRPr="006F3622">
        <w:t xml:space="preserve">следните </w:t>
      </w:r>
      <w:r w:rsidR="00FA0080" w:rsidRPr="006F3622">
        <w:t>критерии</w:t>
      </w:r>
      <w:r w:rsidR="00FE21A9" w:rsidRPr="006F3622">
        <w:t>:</w:t>
      </w:r>
    </w:p>
    <w:p w14:paraId="7BA1CBDA" w14:textId="6B2A1907" w:rsidR="00FE21A9" w:rsidRPr="006F3622" w:rsidRDefault="003534F5" w:rsidP="00D21C0B">
      <w:pPr>
        <w:pStyle w:val="ListParagraph"/>
        <w:tabs>
          <w:tab w:val="left" w:pos="851"/>
        </w:tabs>
        <w:ind w:left="644"/>
        <w:jc w:val="both"/>
        <w:rPr>
          <w:rFonts w:eastAsia="Times New Roman" w:cs="Times New Roman"/>
          <w:szCs w:val="24"/>
          <w:lang w:eastAsia="bg-BG"/>
        </w:rPr>
      </w:pPr>
      <w:r w:rsidRPr="006F3622">
        <w:rPr>
          <w:rFonts w:eastAsia="Times New Roman" w:cs="Times New Roman"/>
          <w:szCs w:val="24"/>
          <w:lang w:eastAsia="bg-BG"/>
        </w:rPr>
        <w:t xml:space="preserve">1. </w:t>
      </w:r>
      <w:r w:rsidR="00FE21A9" w:rsidRPr="006F3622">
        <w:rPr>
          <w:rFonts w:eastAsia="Times New Roman" w:cs="Times New Roman"/>
          <w:szCs w:val="24"/>
          <w:lang w:eastAsia="bg-BG"/>
        </w:rPr>
        <w:t>обработват ли се лични данни при предоставяне на услугата</w:t>
      </w:r>
      <w:r w:rsidRPr="006F3622">
        <w:rPr>
          <w:rFonts w:eastAsia="Times New Roman" w:cs="Times New Roman"/>
          <w:szCs w:val="24"/>
          <w:lang w:eastAsia="bg-BG"/>
        </w:rPr>
        <w:t xml:space="preserve"> и по-специално</w:t>
      </w:r>
      <w:r w:rsidR="00FE21A9" w:rsidRPr="006F3622">
        <w:rPr>
          <w:rFonts w:eastAsia="Times New Roman" w:cs="Times New Roman"/>
          <w:szCs w:val="24"/>
          <w:lang w:eastAsia="bg-BG"/>
        </w:rPr>
        <w:t>:</w:t>
      </w:r>
    </w:p>
    <w:p w14:paraId="0916708C" w14:textId="79AE3AC8"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3534F5" w:rsidRPr="006F3622">
        <w:rPr>
          <w:rFonts w:eastAsia="Times New Roman" w:cs="Times New Roman"/>
          <w:szCs w:val="24"/>
          <w:lang w:eastAsia="bg-BG"/>
        </w:rPr>
        <w:t xml:space="preserve">а) </w:t>
      </w:r>
      <w:r w:rsidR="00FE21A9" w:rsidRPr="006F3622">
        <w:rPr>
          <w:rFonts w:eastAsia="Times New Roman" w:cs="Times New Roman"/>
          <w:szCs w:val="24"/>
          <w:lang w:eastAsia="bg-BG"/>
        </w:rPr>
        <w:t xml:space="preserve">вид данни и тяхното естество; </w:t>
      </w:r>
    </w:p>
    <w:p w14:paraId="3CE85232" w14:textId="230316B2"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3534F5" w:rsidRPr="006F3622">
        <w:rPr>
          <w:rFonts w:eastAsia="Times New Roman" w:cs="Times New Roman"/>
          <w:szCs w:val="24"/>
          <w:lang w:eastAsia="bg-BG"/>
        </w:rPr>
        <w:t xml:space="preserve">б) </w:t>
      </w:r>
      <w:r w:rsidR="00FE21A9" w:rsidRPr="006F3622">
        <w:rPr>
          <w:rFonts w:eastAsia="Times New Roman" w:cs="Times New Roman"/>
          <w:szCs w:val="24"/>
          <w:lang w:eastAsia="bg-BG"/>
        </w:rPr>
        <w:t xml:space="preserve">обработва ли се ЕГН/ЛНЧ или друг аналогичен идентификатор; </w:t>
      </w:r>
    </w:p>
    <w:p w14:paraId="37A62FDE" w14:textId="5B16F9C8"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lastRenderedPageBreak/>
        <w:tab/>
      </w:r>
      <w:r w:rsidR="003534F5" w:rsidRPr="006F3622">
        <w:rPr>
          <w:rFonts w:eastAsia="Times New Roman" w:cs="Times New Roman"/>
          <w:szCs w:val="24"/>
          <w:lang w:eastAsia="bg-BG"/>
        </w:rPr>
        <w:t>в)</w:t>
      </w:r>
      <w:r w:rsidR="008D7B85">
        <w:rPr>
          <w:rFonts w:eastAsia="Times New Roman" w:cs="Times New Roman"/>
          <w:szCs w:val="24"/>
          <w:lang w:eastAsia="bg-BG"/>
        </w:rPr>
        <w:t xml:space="preserve"> </w:t>
      </w:r>
      <w:r w:rsidR="00FE21A9" w:rsidRPr="006F3622">
        <w:rPr>
          <w:rFonts w:eastAsia="Times New Roman" w:cs="Times New Roman"/>
          <w:szCs w:val="24"/>
          <w:lang w:eastAsia="bg-BG"/>
        </w:rPr>
        <w:t xml:space="preserve">обработват ли се особено чувствителни данни; </w:t>
      </w:r>
    </w:p>
    <w:p w14:paraId="7D871A1B" w14:textId="0ABCD8EF"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3534F5" w:rsidRPr="006F3622">
        <w:rPr>
          <w:rFonts w:eastAsia="Times New Roman" w:cs="Times New Roman"/>
          <w:szCs w:val="24"/>
          <w:lang w:eastAsia="bg-BG"/>
        </w:rPr>
        <w:t xml:space="preserve">д) </w:t>
      </w:r>
      <w:r w:rsidR="00FE21A9" w:rsidRPr="006F3622">
        <w:rPr>
          <w:rFonts w:eastAsia="Times New Roman" w:cs="Times New Roman"/>
          <w:szCs w:val="24"/>
          <w:lang w:eastAsia="bg-BG"/>
        </w:rPr>
        <w:t xml:space="preserve">какви са характеристиките на самия процес по обработването на данните; </w:t>
      </w:r>
    </w:p>
    <w:p w14:paraId="4301826F" w14:textId="6AE32449"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3534F5" w:rsidRPr="006F3622">
        <w:rPr>
          <w:rFonts w:eastAsia="Times New Roman" w:cs="Times New Roman"/>
          <w:szCs w:val="24"/>
          <w:lang w:eastAsia="bg-BG"/>
        </w:rPr>
        <w:t xml:space="preserve">е) </w:t>
      </w:r>
      <w:r w:rsidR="00FE21A9" w:rsidRPr="006F3622">
        <w:rPr>
          <w:rFonts w:eastAsia="Times New Roman" w:cs="Times New Roman"/>
          <w:szCs w:val="24"/>
          <w:lang w:eastAsia="bg-BG"/>
        </w:rPr>
        <w:t>какви са рисковете за лицето, застрашено от злоупотреба с данни (необходимо е да се познават последиците от всеки възможен вид загуба или неправомерно обработване на данни);</w:t>
      </w:r>
    </w:p>
    <w:p w14:paraId="2BF5A348" w14:textId="425A918E" w:rsidR="00FE21A9" w:rsidRPr="006F3622" w:rsidRDefault="00542145" w:rsidP="00D21C0B">
      <w:pPr>
        <w:pStyle w:val="ListParagraph"/>
        <w:tabs>
          <w:tab w:val="left" w:pos="851"/>
        </w:tabs>
        <w:ind w:left="644"/>
        <w:jc w:val="both"/>
        <w:rPr>
          <w:rFonts w:eastAsia="Times New Roman" w:cs="Times New Roman"/>
          <w:szCs w:val="24"/>
          <w:lang w:eastAsia="bg-BG"/>
        </w:rPr>
      </w:pPr>
      <w:r w:rsidRPr="006F3622">
        <w:rPr>
          <w:rFonts w:eastAsia="Times New Roman" w:cs="Times New Roman"/>
          <w:szCs w:val="24"/>
          <w:lang w:eastAsia="bg-BG"/>
        </w:rPr>
        <w:t xml:space="preserve">2. </w:t>
      </w:r>
      <w:r w:rsidR="00FE21A9" w:rsidRPr="006F3622">
        <w:rPr>
          <w:rFonts w:eastAsia="Times New Roman" w:cs="Times New Roman"/>
          <w:szCs w:val="24"/>
          <w:lang w:eastAsia="bg-BG"/>
        </w:rPr>
        <w:t>при оценяване естеството на личните данни са важни следните въпроси:</w:t>
      </w:r>
    </w:p>
    <w:p w14:paraId="0985DB86" w14:textId="322E12A7"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42145" w:rsidRPr="006F3622">
        <w:rPr>
          <w:rFonts w:eastAsia="Times New Roman" w:cs="Times New Roman"/>
          <w:szCs w:val="24"/>
          <w:lang w:eastAsia="bg-BG"/>
        </w:rPr>
        <w:t>а)</w:t>
      </w:r>
      <w:r w:rsidR="0003023A" w:rsidRPr="006F3622">
        <w:rPr>
          <w:rFonts w:eastAsia="Times New Roman" w:cs="Times New Roman"/>
          <w:szCs w:val="24"/>
          <w:lang w:eastAsia="bg-BG"/>
        </w:rPr>
        <w:t xml:space="preserve"> </w:t>
      </w:r>
      <w:r w:rsidR="00FE21A9" w:rsidRPr="006F3622">
        <w:rPr>
          <w:rFonts w:eastAsia="Times New Roman" w:cs="Times New Roman"/>
          <w:szCs w:val="24"/>
          <w:lang w:eastAsia="bg-BG"/>
        </w:rPr>
        <w:t xml:space="preserve">личната информация, която се предоставя и използва - за религия, вяра, раса, политическа принадлежност, здравословно състояние, сексуалност, членство в професионална организация, данни за съдебни присъди и информация за наложени забрани в резултат на противоправно поведение; </w:t>
      </w:r>
    </w:p>
    <w:p w14:paraId="6F435967" w14:textId="7FA152D8"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42145" w:rsidRPr="006F3622">
        <w:rPr>
          <w:rFonts w:eastAsia="Times New Roman" w:cs="Times New Roman"/>
          <w:szCs w:val="24"/>
          <w:lang w:eastAsia="bg-BG"/>
        </w:rPr>
        <w:t>б)</w:t>
      </w:r>
      <w:r w:rsidR="0003023A" w:rsidRPr="006F3622">
        <w:rPr>
          <w:rFonts w:eastAsia="Times New Roman" w:cs="Times New Roman"/>
          <w:szCs w:val="24"/>
          <w:lang w:eastAsia="bg-BG"/>
        </w:rPr>
        <w:t xml:space="preserve"> </w:t>
      </w:r>
      <w:r w:rsidR="00FE21A9" w:rsidRPr="006F3622">
        <w:rPr>
          <w:rFonts w:eastAsia="Times New Roman" w:cs="Times New Roman"/>
          <w:szCs w:val="24"/>
          <w:lang w:eastAsia="bg-BG"/>
        </w:rPr>
        <w:t>информация за финансово или икономическо състояние на лицето;</w:t>
      </w:r>
    </w:p>
    <w:p w14:paraId="6ADE79D5" w14:textId="77777777" w:rsidR="0003023A" w:rsidRPr="006F3622" w:rsidRDefault="0026591B" w:rsidP="0003023A">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42145" w:rsidRPr="006F3622">
        <w:rPr>
          <w:rFonts w:eastAsia="Times New Roman" w:cs="Times New Roman"/>
          <w:szCs w:val="24"/>
          <w:lang w:eastAsia="bg-BG"/>
        </w:rPr>
        <w:t>в)</w:t>
      </w:r>
      <w:r w:rsidR="0003023A" w:rsidRPr="006F3622">
        <w:rPr>
          <w:rFonts w:eastAsia="Times New Roman" w:cs="Times New Roman"/>
          <w:szCs w:val="24"/>
          <w:lang w:eastAsia="bg-BG"/>
        </w:rPr>
        <w:t xml:space="preserve"> </w:t>
      </w:r>
      <w:r w:rsidR="00FE21A9" w:rsidRPr="006F3622">
        <w:rPr>
          <w:rFonts w:eastAsia="Times New Roman" w:cs="Times New Roman"/>
          <w:szCs w:val="24"/>
          <w:lang w:eastAsia="bg-BG"/>
        </w:rPr>
        <w:t xml:space="preserve">информация, която би могла да доведе до стигматизация или изолация на лицето, напр. данни за професионални постижения или за проблемни взаимоотношения; </w:t>
      </w:r>
    </w:p>
    <w:p w14:paraId="2424EC01" w14:textId="1258DCE6" w:rsidR="00FE21A9" w:rsidRPr="006F3622" w:rsidRDefault="0003023A" w:rsidP="0003023A">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42145" w:rsidRPr="006F3622">
        <w:rPr>
          <w:rFonts w:eastAsia="Times New Roman" w:cs="Times New Roman"/>
          <w:szCs w:val="24"/>
          <w:lang w:eastAsia="bg-BG"/>
        </w:rPr>
        <w:t xml:space="preserve">г) </w:t>
      </w:r>
      <w:r w:rsidR="00FE21A9" w:rsidRPr="006F3622">
        <w:rPr>
          <w:rFonts w:eastAsia="Times New Roman" w:cs="Times New Roman"/>
          <w:szCs w:val="24"/>
          <w:lang w:eastAsia="bg-BG"/>
        </w:rPr>
        <w:t>информация за хора в неравностойно положение;</w:t>
      </w:r>
    </w:p>
    <w:p w14:paraId="377E9577" w14:textId="0FCDDE10"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42145" w:rsidRPr="006F3622">
        <w:rPr>
          <w:rFonts w:eastAsia="Times New Roman" w:cs="Times New Roman"/>
          <w:szCs w:val="24"/>
          <w:lang w:eastAsia="bg-BG"/>
        </w:rPr>
        <w:t xml:space="preserve">д) </w:t>
      </w:r>
      <w:r w:rsidR="00FE21A9" w:rsidRPr="006F3622">
        <w:rPr>
          <w:rFonts w:eastAsia="Times New Roman" w:cs="Times New Roman"/>
          <w:szCs w:val="24"/>
          <w:lang w:eastAsia="bg-BG"/>
        </w:rPr>
        <w:t>информация, с която би могло да се злоупотреби с цел кражба на идентичност, напр. биометрични данни, копия на документи за самоличност и ЕГН/ЛНЧ;</w:t>
      </w:r>
    </w:p>
    <w:p w14:paraId="0E38CB6D" w14:textId="0DD0082E" w:rsidR="00FE21A9" w:rsidRPr="006F3622" w:rsidRDefault="00D907AF" w:rsidP="00D21C0B">
      <w:pPr>
        <w:pStyle w:val="ListParagraph"/>
        <w:tabs>
          <w:tab w:val="left" w:pos="851"/>
        </w:tabs>
        <w:ind w:left="644"/>
        <w:jc w:val="both"/>
        <w:rPr>
          <w:rFonts w:eastAsia="Times New Roman" w:cs="Times New Roman"/>
          <w:szCs w:val="24"/>
          <w:lang w:eastAsia="bg-BG"/>
        </w:rPr>
      </w:pPr>
      <w:r w:rsidRPr="006F3622">
        <w:rPr>
          <w:rFonts w:eastAsia="Times New Roman" w:cs="Times New Roman"/>
          <w:szCs w:val="24"/>
          <w:lang w:eastAsia="bg-BG"/>
        </w:rPr>
        <w:t xml:space="preserve">3. </w:t>
      </w:r>
      <w:r w:rsidR="00FE21A9" w:rsidRPr="006F3622">
        <w:rPr>
          <w:rFonts w:eastAsia="Times New Roman" w:cs="Times New Roman"/>
          <w:szCs w:val="24"/>
          <w:lang w:eastAsia="bg-BG"/>
        </w:rPr>
        <w:t xml:space="preserve">при оценяване на рисковете (естеството) на обработването на данните се разглеждат следните </w:t>
      </w:r>
      <w:r w:rsidR="00FA0080" w:rsidRPr="006F3622">
        <w:rPr>
          <w:rFonts w:eastAsia="Times New Roman" w:cs="Times New Roman"/>
          <w:szCs w:val="24"/>
          <w:lang w:eastAsia="bg-BG"/>
        </w:rPr>
        <w:t>критерии</w:t>
      </w:r>
      <w:r w:rsidR="00FE21A9" w:rsidRPr="006F3622">
        <w:rPr>
          <w:rFonts w:eastAsia="Times New Roman" w:cs="Times New Roman"/>
          <w:szCs w:val="24"/>
          <w:lang w:eastAsia="bg-BG"/>
        </w:rPr>
        <w:t>:</w:t>
      </w:r>
    </w:p>
    <w:p w14:paraId="33E0DC3B" w14:textId="483B5E53"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D907AF" w:rsidRPr="006F3622">
        <w:rPr>
          <w:rFonts w:eastAsia="Times New Roman" w:cs="Times New Roman"/>
          <w:szCs w:val="24"/>
          <w:lang w:eastAsia="bg-BG"/>
        </w:rPr>
        <w:t>а)</w:t>
      </w:r>
      <w:r w:rsidRPr="006F3622">
        <w:rPr>
          <w:rFonts w:eastAsia="Times New Roman" w:cs="Times New Roman"/>
          <w:szCs w:val="24"/>
          <w:lang w:eastAsia="bg-BG"/>
        </w:rPr>
        <w:t xml:space="preserve"> </w:t>
      </w:r>
      <w:r w:rsidR="00FE21A9" w:rsidRPr="006F3622">
        <w:rPr>
          <w:rFonts w:eastAsia="Times New Roman" w:cs="Times New Roman"/>
          <w:szCs w:val="24"/>
          <w:lang w:eastAsia="bg-BG"/>
        </w:rPr>
        <w:t>обработват ли се големи обеми от лични данни на потребителя на електронни административни услуги;</w:t>
      </w:r>
    </w:p>
    <w:p w14:paraId="546D8FC9" w14:textId="54E750E1"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D907AF" w:rsidRPr="006F3622">
        <w:rPr>
          <w:rFonts w:eastAsia="Times New Roman" w:cs="Times New Roman"/>
          <w:szCs w:val="24"/>
          <w:lang w:eastAsia="bg-BG"/>
        </w:rPr>
        <w:t>б)</w:t>
      </w:r>
      <w:r w:rsidRPr="006F3622">
        <w:rPr>
          <w:rFonts w:eastAsia="Times New Roman" w:cs="Times New Roman"/>
          <w:szCs w:val="24"/>
          <w:lang w:eastAsia="bg-BG"/>
        </w:rPr>
        <w:t xml:space="preserve"> </w:t>
      </w:r>
      <w:r w:rsidR="00FE21A9" w:rsidRPr="006F3622">
        <w:rPr>
          <w:rFonts w:eastAsia="Times New Roman" w:cs="Times New Roman"/>
          <w:szCs w:val="24"/>
          <w:lang w:eastAsia="bg-BG"/>
        </w:rPr>
        <w:t>какви са целите на обработването на данните - с колкото по-дълготрайни последици са решенията, които се вземат въз основа на обработваните лични данни, толкова по-голямо би било въздействието при загуба или неправомерно обработване;</w:t>
      </w:r>
    </w:p>
    <w:p w14:paraId="0A31EF62" w14:textId="06E96085"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D907AF" w:rsidRPr="006F3622">
        <w:rPr>
          <w:rFonts w:eastAsia="Times New Roman" w:cs="Times New Roman"/>
          <w:szCs w:val="24"/>
          <w:lang w:eastAsia="bg-BG"/>
        </w:rPr>
        <w:t xml:space="preserve">в) </w:t>
      </w:r>
      <w:r w:rsidR="00FE21A9" w:rsidRPr="006F3622">
        <w:rPr>
          <w:rFonts w:eastAsia="Times New Roman" w:cs="Times New Roman"/>
          <w:szCs w:val="24"/>
          <w:lang w:eastAsia="bg-BG"/>
        </w:rPr>
        <w:t xml:space="preserve">степента, в която е възможна злоупотреба с информацията - преценява се основно възможността за кражба на самоличност. </w:t>
      </w:r>
    </w:p>
    <w:p w14:paraId="38B94284" w14:textId="060A9831"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D907AF" w:rsidRPr="006F3622">
        <w:rPr>
          <w:rFonts w:eastAsia="Times New Roman" w:cs="Times New Roman"/>
          <w:szCs w:val="24"/>
          <w:lang w:eastAsia="bg-BG"/>
        </w:rPr>
        <w:t xml:space="preserve">4. </w:t>
      </w:r>
      <w:r w:rsidR="00FE21A9" w:rsidRPr="006F3622">
        <w:rPr>
          <w:rFonts w:eastAsia="Times New Roman" w:cs="Times New Roman"/>
          <w:szCs w:val="24"/>
          <w:lang w:eastAsia="bg-BG"/>
        </w:rPr>
        <w:t xml:space="preserve">какви са правните последици от предоставената услуга - </w:t>
      </w:r>
      <w:r w:rsidR="000C3A6E" w:rsidRPr="006F3622">
        <w:rPr>
          <w:rFonts w:eastAsia="Times New Roman" w:cs="Times New Roman"/>
          <w:szCs w:val="24"/>
          <w:lang w:eastAsia="bg-BG"/>
        </w:rPr>
        <w:t>из</w:t>
      </w:r>
      <w:r w:rsidR="00FE21A9" w:rsidRPr="006F3622">
        <w:rPr>
          <w:rFonts w:eastAsia="Times New Roman" w:cs="Times New Roman"/>
          <w:szCs w:val="24"/>
          <w:lang w:eastAsia="bg-BG"/>
        </w:rPr>
        <w:t>ползването на услугата може да има правни последици, ако за нея има правно основание и тя води до правни действия (директни или индиректни);</w:t>
      </w:r>
    </w:p>
    <w:p w14:paraId="36399978" w14:textId="08ED6FFB"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D907AF" w:rsidRPr="006F3622">
        <w:rPr>
          <w:rFonts w:eastAsia="Times New Roman" w:cs="Times New Roman"/>
          <w:szCs w:val="24"/>
          <w:lang w:eastAsia="bg-BG"/>
        </w:rPr>
        <w:t xml:space="preserve">5. </w:t>
      </w:r>
      <w:r w:rsidR="00FE21A9" w:rsidRPr="006F3622">
        <w:rPr>
          <w:rFonts w:eastAsia="Times New Roman" w:cs="Times New Roman"/>
          <w:szCs w:val="24"/>
          <w:lang w:eastAsia="bg-BG"/>
        </w:rPr>
        <w:t>услугата предизвиква ли промени в данни (създаване, изменение или заличаване), съдържащи се в ключови регистри, например информация от регистър „ГРАО“;</w:t>
      </w:r>
    </w:p>
    <w:p w14:paraId="5AC1706D" w14:textId="761F2244" w:rsidR="00FE21A9" w:rsidRPr="006F3622" w:rsidRDefault="0003023A" w:rsidP="00D21C0B">
      <w:pPr>
        <w:pStyle w:val="ListParagraph"/>
        <w:tabs>
          <w:tab w:val="left" w:pos="851"/>
        </w:tabs>
        <w:ind w:left="644"/>
        <w:jc w:val="both"/>
        <w:rPr>
          <w:rFonts w:eastAsia="Times New Roman" w:cs="Times New Roman"/>
          <w:szCs w:val="24"/>
          <w:lang w:eastAsia="bg-BG"/>
        </w:rPr>
      </w:pPr>
      <w:r w:rsidRPr="006F3622">
        <w:rPr>
          <w:rFonts w:eastAsia="Times New Roman" w:cs="Times New Roman"/>
          <w:szCs w:val="24"/>
          <w:lang w:eastAsia="bg-BG"/>
        </w:rPr>
        <w:tab/>
      </w:r>
      <w:r w:rsidR="005B1878" w:rsidRPr="006F3622">
        <w:rPr>
          <w:rFonts w:eastAsia="Times New Roman" w:cs="Times New Roman"/>
          <w:szCs w:val="24"/>
          <w:lang w:eastAsia="bg-BG"/>
        </w:rPr>
        <w:t xml:space="preserve">6. </w:t>
      </w:r>
      <w:r w:rsidR="00FE21A9" w:rsidRPr="006F3622">
        <w:rPr>
          <w:rFonts w:eastAsia="Times New Roman" w:cs="Times New Roman"/>
          <w:szCs w:val="24"/>
          <w:lang w:eastAsia="bg-BG"/>
        </w:rPr>
        <w:t>какъв е икономическият интерес от услугата:</w:t>
      </w:r>
    </w:p>
    <w:p w14:paraId="4A02EBA6" w14:textId="11844964"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B1878" w:rsidRPr="006F3622">
        <w:rPr>
          <w:rFonts w:eastAsia="Times New Roman" w:cs="Times New Roman"/>
          <w:szCs w:val="24"/>
          <w:lang w:eastAsia="bg-BG"/>
        </w:rPr>
        <w:t>а)</w:t>
      </w:r>
      <w:r w:rsidRPr="006F3622">
        <w:rPr>
          <w:rFonts w:eastAsia="Times New Roman" w:cs="Times New Roman"/>
          <w:szCs w:val="24"/>
          <w:lang w:eastAsia="bg-BG"/>
        </w:rPr>
        <w:t xml:space="preserve"> </w:t>
      </w:r>
      <w:r w:rsidR="00FE21A9" w:rsidRPr="006F3622">
        <w:rPr>
          <w:rFonts w:eastAsia="Times New Roman" w:cs="Times New Roman"/>
          <w:szCs w:val="24"/>
          <w:lang w:eastAsia="bg-BG"/>
        </w:rPr>
        <w:t xml:space="preserve">възможно ли е да се стигне до икономически щети (загуба на пари или икономическо положение; подвеждане под отговорност; </w:t>
      </w:r>
    </w:p>
    <w:p w14:paraId="6D172847" w14:textId="0BF5D489"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B1878" w:rsidRPr="006F3622">
        <w:rPr>
          <w:rFonts w:eastAsia="Times New Roman" w:cs="Times New Roman"/>
          <w:szCs w:val="24"/>
          <w:lang w:eastAsia="bg-BG"/>
        </w:rPr>
        <w:t>б)</w:t>
      </w:r>
      <w:r w:rsidRPr="006F3622">
        <w:rPr>
          <w:rFonts w:eastAsia="Times New Roman" w:cs="Times New Roman"/>
          <w:szCs w:val="24"/>
          <w:lang w:eastAsia="bg-BG"/>
        </w:rPr>
        <w:t xml:space="preserve"> </w:t>
      </w:r>
      <w:r w:rsidR="00FE21A9" w:rsidRPr="006F3622">
        <w:rPr>
          <w:rFonts w:eastAsia="Times New Roman" w:cs="Times New Roman"/>
          <w:szCs w:val="24"/>
          <w:lang w:eastAsia="bg-BG"/>
        </w:rPr>
        <w:t xml:space="preserve">достъп на неоторизирани лица до конкурентно чувствителна информация или изтичане на ценово чувствителна информация) при грешна идентификация, кражба на самоличност или незаконосъобразно или неправилно обработване на данни; </w:t>
      </w:r>
    </w:p>
    <w:p w14:paraId="2C7117FE" w14:textId="1CFB01B5"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lastRenderedPageBreak/>
        <w:tab/>
      </w:r>
      <w:r w:rsidR="005B1878" w:rsidRPr="006F3622">
        <w:rPr>
          <w:rFonts w:eastAsia="Times New Roman" w:cs="Times New Roman"/>
          <w:szCs w:val="24"/>
          <w:lang w:eastAsia="bg-BG"/>
        </w:rPr>
        <w:t>в)</w:t>
      </w:r>
      <w:r w:rsidRPr="006F3622">
        <w:rPr>
          <w:rFonts w:eastAsia="Times New Roman" w:cs="Times New Roman"/>
          <w:szCs w:val="24"/>
          <w:lang w:eastAsia="bg-BG"/>
        </w:rPr>
        <w:t xml:space="preserve"> </w:t>
      </w:r>
      <w:r w:rsidR="00FE21A9" w:rsidRPr="006F3622">
        <w:rPr>
          <w:rFonts w:eastAsia="Times New Roman" w:cs="Times New Roman"/>
          <w:szCs w:val="24"/>
          <w:lang w:eastAsia="bg-BG"/>
        </w:rPr>
        <w:t>икономическите щети могат да са за отделния гражданин или фирма или на системно ниво (за всички лица или за големи групи субекти);</w:t>
      </w:r>
    </w:p>
    <w:p w14:paraId="09B229D8" w14:textId="426ED1A5"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5B1878" w:rsidRPr="006F3622">
        <w:rPr>
          <w:rFonts w:eastAsia="Times New Roman" w:cs="Times New Roman"/>
          <w:szCs w:val="24"/>
          <w:lang w:eastAsia="bg-BG"/>
        </w:rPr>
        <w:t xml:space="preserve">7. </w:t>
      </w:r>
      <w:r w:rsidR="00FE21A9" w:rsidRPr="006F3622">
        <w:rPr>
          <w:rFonts w:eastAsia="Times New Roman" w:cs="Times New Roman"/>
          <w:szCs w:val="24"/>
          <w:lang w:eastAsia="bg-BG"/>
        </w:rPr>
        <w:t xml:space="preserve">какъв е публичният интерес от услугата - публичност и политически вълнения, от една страна, и социални сътресения, от друга страна: </w:t>
      </w:r>
    </w:p>
    <w:p w14:paraId="12FBEA49" w14:textId="74768460"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E96AF2" w:rsidRPr="006F3622">
        <w:rPr>
          <w:rFonts w:eastAsia="Times New Roman" w:cs="Times New Roman"/>
          <w:szCs w:val="24"/>
          <w:lang w:eastAsia="bg-BG"/>
        </w:rPr>
        <w:t>а)</w:t>
      </w:r>
      <w:r w:rsidRPr="006F3622">
        <w:rPr>
          <w:rFonts w:eastAsia="Times New Roman" w:cs="Times New Roman"/>
          <w:szCs w:val="24"/>
          <w:lang w:eastAsia="bg-BG"/>
        </w:rPr>
        <w:t xml:space="preserve"> </w:t>
      </w:r>
      <w:r w:rsidR="00FE21A9" w:rsidRPr="006F3622">
        <w:rPr>
          <w:rFonts w:eastAsia="Times New Roman" w:cs="Times New Roman"/>
          <w:szCs w:val="24"/>
          <w:lang w:eastAsia="bg-BG"/>
        </w:rPr>
        <w:t xml:space="preserve">тук се има предвид срив на общественото доверие в предоставяната услуга и съответната организация; </w:t>
      </w:r>
    </w:p>
    <w:p w14:paraId="6557A971" w14:textId="466FBEEF"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E96AF2" w:rsidRPr="006F3622">
        <w:rPr>
          <w:rFonts w:eastAsia="Times New Roman" w:cs="Times New Roman"/>
          <w:szCs w:val="24"/>
          <w:lang w:eastAsia="bg-BG"/>
        </w:rPr>
        <w:t>б)</w:t>
      </w:r>
      <w:r w:rsidRPr="006F3622">
        <w:rPr>
          <w:rFonts w:eastAsia="Times New Roman" w:cs="Times New Roman"/>
          <w:szCs w:val="24"/>
          <w:lang w:eastAsia="bg-BG"/>
        </w:rPr>
        <w:t xml:space="preserve"> </w:t>
      </w:r>
      <w:r w:rsidR="00FE21A9" w:rsidRPr="006F3622">
        <w:rPr>
          <w:rFonts w:eastAsia="Times New Roman" w:cs="Times New Roman"/>
          <w:szCs w:val="24"/>
          <w:lang w:eastAsia="bg-BG"/>
        </w:rPr>
        <w:t>как могат да се решат проблемите (от една организация; сътресенията изискват координирани действия на няколко организации, както публични, така и частни; извънредни положения, които могат да изискат вземането на мерки извън обичайните правни и финансови рамки);</w:t>
      </w:r>
    </w:p>
    <w:p w14:paraId="6F0C335B" w14:textId="7066C3C5" w:rsidR="00FE21A9" w:rsidRPr="006F3622" w:rsidRDefault="0026591B" w:rsidP="0026591B">
      <w:pPr>
        <w:tabs>
          <w:tab w:val="left" w:pos="851"/>
        </w:tabs>
        <w:jc w:val="both"/>
        <w:rPr>
          <w:rFonts w:eastAsia="Times New Roman" w:cs="Times New Roman"/>
          <w:b/>
          <w:i/>
          <w:szCs w:val="24"/>
          <w:lang w:eastAsia="bg-BG"/>
        </w:rPr>
      </w:pPr>
      <w:r w:rsidRPr="006F3622">
        <w:rPr>
          <w:rFonts w:eastAsia="Times New Roman" w:cs="Times New Roman"/>
          <w:szCs w:val="24"/>
          <w:lang w:eastAsia="bg-BG"/>
        </w:rPr>
        <w:tab/>
      </w:r>
      <w:r w:rsidR="00995478" w:rsidRPr="006F3622">
        <w:rPr>
          <w:rFonts w:eastAsia="Times New Roman" w:cs="Times New Roman"/>
          <w:szCs w:val="24"/>
          <w:lang w:eastAsia="bg-BG"/>
        </w:rPr>
        <w:t xml:space="preserve">8. </w:t>
      </w:r>
      <w:r w:rsidR="00FE21A9" w:rsidRPr="006F3622">
        <w:rPr>
          <w:rFonts w:eastAsia="Times New Roman" w:cs="Times New Roman"/>
          <w:szCs w:val="24"/>
          <w:lang w:eastAsia="bg-BG"/>
        </w:rPr>
        <w:t xml:space="preserve">колко </w:t>
      </w:r>
      <w:r w:rsidR="00F10A5B">
        <w:rPr>
          <w:rFonts w:eastAsia="Times New Roman" w:cs="Times New Roman"/>
          <w:szCs w:val="24"/>
          <w:lang w:eastAsia="bg-BG"/>
        </w:rPr>
        <w:t>ЕАУ</w:t>
      </w:r>
      <w:r w:rsidR="00FE21A9" w:rsidRPr="006F3622">
        <w:rPr>
          <w:rFonts w:eastAsia="Times New Roman" w:cs="Times New Roman"/>
          <w:szCs w:val="24"/>
          <w:lang w:eastAsia="bg-BG"/>
        </w:rPr>
        <w:t xml:space="preserve"> се предлагат от съответния административен орган и какви са техните потребители - граждани, фирми или и двете; включва ли предлагането на услугата трафик между различни информационни системи с искане за получаване на информация, респ. нейното получаване; гражданите действат от свое име или има възможност и за упълномощаване на лица, които да действат от тяхно име и за тяхна сметка;</w:t>
      </w:r>
    </w:p>
    <w:p w14:paraId="421B2C0F" w14:textId="5D71CC3F" w:rsidR="00FE21A9"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995478" w:rsidRPr="006F3622">
        <w:rPr>
          <w:rFonts w:eastAsia="Times New Roman" w:cs="Times New Roman"/>
          <w:szCs w:val="24"/>
          <w:lang w:eastAsia="bg-BG"/>
        </w:rPr>
        <w:t xml:space="preserve">9. </w:t>
      </w:r>
      <w:r w:rsidR="00FE21A9" w:rsidRPr="006F3622">
        <w:rPr>
          <w:rFonts w:eastAsia="Times New Roman" w:cs="Times New Roman"/>
          <w:szCs w:val="24"/>
          <w:lang w:eastAsia="bg-BG"/>
        </w:rPr>
        <w:t>наличие на внедрена система за управление на информационната сигурност и защита на личните данни; налице ли е внедрен и актуален план за IT сигурност;</w:t>
      </w:r>
    </w:p>
    <w:p w14:paraId="27761AFC" w14:textId="53042FBA" w:rsidR="00FE21A9" w:rsidRPr="006F3622" w:rsidRDefault="0026591B" w:rsidP="0026591B">
      <w:pPr>
        <w:tabs>
          <w:tab w:val="left" w:pos="851"/>
        </w:tabs>
        <w:jc w:val="both"/>
        <w:rPr>
          <w:rFonts w:eastAsia="Times New Roman" w:cs="Times New Roman"/>
          <w:b/>
          <w:i/>
          <w:szCs w:val="24"/>
          <w:lang w:eastAsia="bg-BG"/>
        </w:rPr>
      </w:pPr>
      <w:r w:rsidRPr="006F3622">
        <w:rPr>
          <w:rFonts w:eastAsia="Times New Roman" w:cs="Times New Roman"/>
          <w:szCs w:val="24"/>
          <w:lang w:eastAsia="bg-BG"/>
        </w:rPr>
        <w:tab/>
      </w:r>
      <w:r w:rsidR="00201111" w:rsidRPr="006F3622">
        <w:rPr>
          <w:rFonts w:eastAsia="Times New Roman" w:cs="Times New Roman"/>
          <w:szCs w:val="24"/>
          <w:lang w:eastAsia="bg-BG"/>
        </w:rPr>
        <w:t xml:space="preserve">10. </w:t>
      </w:r>
      <w:r w:rsidR="00FE21A9" w:rsidRPr="006F3622">
        <w:rPr>
          <w:rFonts w:eastAsia="Times New Roman" w:cs="Times New Roman"/>
          <w:szCs w:val="24"/>
          <w:lang w:eastAsia="bg-BG"/>
        </w:rPr>
        <w:t>автентикация на потребителя при заявяване и предоставяне на услугата - същият автентикира ли се преди да му се разреши достъп до услугата и неговата идентичност използва ли се в процеса по предоставяне на услугата; изискват ли се от потребителя допълнителни доказателства за потвърждаване на неговата идентичност в хода на предоставяне на услугата;</w:t>
      </w:r>
    </w:p>
    <w:p w14:paraId="5F015570" w14:textId="60340134" w:rsidR="00626BB0" w:rsidRPr="006F3622" w:rsidRDefault="0026591B" w:rsidP="0026591B">
      <w:pPr>
        <w:tabs>
          <w:tab w:val="left" w:pos="851"/>
        </w:tabs>
        <w:jc w:val="both"/>
        <w:rPr>
          <w:rFonts w:eastAsia="Times New Roman" w:cs="Times New Roman"/>
          <w:szCs w:val="24"/>
          <w:lang w:eastAsia="bg-BG"/>
        </w:rPr>
      </w:pPr>
      <w:r w:rsidRPr="006F3622">
        <w:rPr>
          <w:rFonts w:eastAsia="Times New Roman" w:cs="Times New Roman"/>
          <w:szCs w:val="24"/>
          <w:lang w:eastAsia="bg-BG"/>
        </w:rPr>
        <w:tab/>
      </w:r>
      <w:r w:rsidR="00201111" w:rsidRPr="006F3622">
        <w:rPr>
          <w:rFonts w:eastAsia="Times New Roman" w:cs="Times New Roman"/>
          <w:szCs w:val="24"/>
          <w:lang w:eastAsia="bg-BG"/>
        </w:rPr>
        <w:t xml:space="preserve">11. </w:t>
      </w:r>
      <w:r w:rsidR="00FE21A9" w:rsidRPr="006F3622">
        <w:rPr>
          <w:rFonts w:eastAsia="Times New Roman" w:cs="Times New Roman"/>
          <w:szCs w:val="24"/>
          <w:lang w:eastAsia="bg-BG"/>
        </w:rPr>
        <w:t>услугата включва ли издаване на решение от административен орган, за което след</w:t>
      </w:r>
      <w:r w:rsidR="00DE4145">
        <w:rPr>
          <w:rFonts w:eastAsia="Times New Roman" w:cs="Times New Roman"/>
          <w:szCs w:val="24"/>
          <w:lang w:eastAsia="bg-BG"/>
        </w:rPr>
        <w:t>ва да бъдат уведомени заинтересо</w:t>
      </w:r>
      <w:r w:rsidR="00FE21A9" w:rsidRPr="006F3622">
        <w:rPr>
          <w:rFonts w:eastAsia="Times New Roman" w:cs="Times New Roman"/>
          <w:szCs w:val="24"/>
          <w:lang w:eastAsia="bg-BG"/>
        </w:rPr>
        <w:t>ваните лица и което може да се извършва по канали, различни от тези, по които се предоставя услугата.</w:t>
      </w:r>
    </w:p>
    <w:p w14:paraId="022EA884" w14:textId="34B2A5FB" w:rsidR="00FA0080" w:rsidRPr="006F3622" w:rsidRDefault="00B81FEC" w:rsidP="00621664">
      <w:pPr>
        <w:pStyle w:val="ListParagraph"/>
        <w:tabs>
          <w:tab w:val="left" w:pos="709"/>
        </w:tabs>
        <w:spacing w:after="0"/>
        <w:ind w:left="142"/>
        <w:jc w:val="both"/>
      </w:pPr>
      <w:r w:rsidRPr="006F3622">
        <w:rPr>
          <w:b/>
        </w:rPr>
        <w:tab/>
      </w:r>
      <w:r w:rsidR="00621664" w:rsidRPr="006F3622">
        <w:rPr>
          <w:b/>
        </w:rPr>
        <w:t>Чл. 10.</w:t>
      </w:r>
      <w:r w:rsidR="00766352" w:rsidRPr="006F3622">
        <w:rPr>
          <w:b/>
        </w:rPr>
        <w:t xml:space="preserve"> </w:t>
      </w:r>
      <w:r w:rsidR="00DD2376" w:rsidRPr="006F3622">
        <w:rPr>
          <w:b/>
        </w:rPr>
        <w:t>(1)</w:t>
      </w:r>
      <w:r w:rsidR="00621664" w:rsidRPr="006F3622">
        <w:t xml:space="preserve"> </w:t>
      </w:r>
      <w:r w:rsidR="006D3AAE" w:rsidRPr="006F3622">
        <w:t xml:space="preserve">Всеки административен орган </w:t>
      </w:r>
      <w:r w:rsidR="00561151" w:rsidRPr="006F3622">
        <w:t xml:space="preserve">следва да направи преценка кои от </w:t>
      </w:r>
      <w:r w:rsidR="00FA0080" w:rsidRPr="006F3622">
        <w:t>критериите</w:t>
      </w:r>
      <w:r w:rsidR="00561151" w:rsidRPr="006F3622">
        <w:t xml:space="preserve"> по </w:t>
      </w:r>
      <w:r w:rsidRPr="006F3622">
        <w:t>чл. 9</w:t>
      </w:r>
      <w:r w:rsidR="00561151" w:rsidRPr="006F3622">
        <w:t xml:space="preserve"> са приложими по отношение на предоставяните от него ЕАУ</w:t>
      </w:r>
      <w:r w:rsidR="00984474" w:rsidRPr="006F3622">
        <w:t xml:space="preserve">. </w:t>
      </w:r>
      <w:r w:rsidR="00FA0080" w:rsidRPr="006F3622">
        <w:t xml:space="preserve">В Приложение № 1 </w:t>
      </w:r>
      <w:r w:rsidR="00A83FD2" w:rsidRPr="006F3622">
        <w:t>е онагледено</w:t>
      </w:r>
      <w:r w:rsidR="00FA0080" w:rsidRPr="006F3622">
        <w:t xml:space="preserve"> как дадените критерии водят до избор на средство за електронна идентификация със съответното ниво на осигуреност.</w:t>
      </w:r>
    </w:p>
    <w:p w14:paraId="65BDC358" w14:textId="77777777" w:rsidR="00D75DEC" w:rsidRDefault="00DD2376" w:rsidP="00DD2376">
      <w:pPr>
        <w:pStyle w:val="ListParagraph"/>
        <w:tabs>
          <w:tab w:val="left" w:pos="709"/>
        </w:tabs>
        <w:spacing w:after="0"/>
        <w:ind w:left="142"/>
        <w:jc w:val="both"/>
        <w:rPr>
          <w:b/>
        </w:rPr>
      </w:pPr>
      <w:r w:rsidRPr="006F3622">
        <w:rPr>
          <w:b/>
        </w:rPr>
        <w:tab/>
      </w:r>
    </w:p>
    <w:p w14:paraId="3D72A1B1" w14:textId="4D0567AB" w:rsidR="008F485B" w:rsidRPr="006F3622" w:rsidRDefault="00D75DEC" w:rsidP="00DD2376">
      <w:pPr>
        <w:pStyle w:val="ListParagraph"/>
        <w:tabs>
          <w:tab w:val="left" w:pos="709"/>
        </w:tabs>
        <w:spacing w:after="0"/>
        <w:ind w:left="142"/>
        <w:jc w:val="both"/>
      </w:pPr>
      <w:r>
        <w:rPr>
          <w:b/>
        </w:rPr>
        <w:tab/>
      </w:r>
      <w:r w:rsidR="00DD2376" w:rsidRPr="006F3622">
        <w:rPr>
          <w:b/>
        </w:rPr>
        <w:t>(2)</w:t>
      </w:r>
      <w:r w:rsidR="00DD2376" w:rsidRPr="006F3622">
        <w:t xml:space="preserve"> </w:t>
      </w:r>
      <w:r w:rsidR="00A81D56" w:rsidRPr="006F3622">
        <w:t xml:space="preserve">Чрез предложения </w:t>
      </w:r>
      <w:r w:rsidR="00FA0080" w:rsidRPr="006F3622">
        <w:t xml:space="preserve">в Приложение </w:t>
      </w:r>
      <w:r w:rsidR="00A81D56" w:rsidRPr="006F3622">
        <w:t xml:space="preserve">№1 </w:t>
      </w:r>
      <w:r w:rsidR="001A33B9" w:rsidRPr="006F3622">
        <w:t>метод</w:t>
      </w:r>
      <w:r w:rsidR="00A81D56" w:rsidRPr="006F3622">
        <w:t xml:space="preserve"> </w:t>
      </w:r>
      <w:r w:rsidR="00FA0080" w:rsidRPr="006F3622">
        <w:t>административните органи могат</w:t>
      </w:r>
      <w:r w:rsidR="00A81D56" w:rsidRPr="006F3622">
        <w:t>,</w:t>
      </w:r>
      <w:r w:rsidR="00FA0080" w:rsidRPr="006F3622">
        <w:t xml:space="preserve"> </w:t>
      </w:r>
      <w:r w:rsidR="00A81D56" w:rsidRPr="006F3622">
        <w:t xml:space="preserve">в зависимост от конкретните особености на предоставяната от тях ЕАУ, </w:t>
      </w:r>
      <w:r w:rsidR="008F485B" w:rsidRPr="006F3622">
        <w:t xml:space="preserve">на базата на опростен анализ на риска </w:t>
      </w:r>
      <w:r w:rsidR="00FA0080" w:rsidRPr="006F3622">
        <w:t>да определят вида средство за електронна идентификация</w:t>
      </w:r>
      <w:r w:rsidR="00A81D56" w:rsidRPr="006F3622">
        <w:t>,</w:t>
      </w:r>
      <w:r w:rsidR="00FA0080" w:rsidRPr="006F3622">
        <w:t xml:space="preserve"> съобразно нивото му на осигуреност</w:t>
      </w:r>
      <w:r w:rsidR="00A81D56" w:rsidRPr="006F3622">
        <w:t>.</w:t>
      </w:r>
      <w:r w:rsidR="00FA0080" w:rsidRPr="006F3622">
        <w:t xml:space="preserve"> </w:t>
      </w:r>
    </w:p>
    <w:p w14:paraId="6366DC7E" w14:textId="77777777" w:rsidR="00D75DEC" w:rsidRDefault="00DD2376" w:rsidP="00DD2376">
      <w:pPr>
        <w:pStyle w:val="ListParagraph"/>
        <w:tabs>
          <w:tab w:val="left" w:pos="709"/>
        </w:tabs>
        <w:spacing w:after="0"/>
        <w:ind w:left="142"/>
        <w:jc w:val="both"/>
      </w:pPr>
      <w:r w:rsidRPr="006F3622">
        <w:tab/>
      </w:r>
    </w:p>
    <w:p w14:paraId="7AA839D7" w14:textId="4D1D3260" w:rsidR="008F485B" w:rsidRPr="006F3622" w:rsidRDefault="00D75DEC" w:rsidP="00DD2376">
      <w:pPr>
        <w:pStyle w:val="ListParagraph"/>
        <w:tabs>
          <w:tab w:val="left" w:pos="709"/>
        </w:tabs>
        <w:spacing w:after="0"/>
        <w:ind w:left="142"/>
        <w:jc w:val="both"/>
      </w:pPr>
      <w:r>
        <w:tab/>
      </w:r>
      <w:r w:rsidR="00DD2376" w:rsidRPr="006F3622">
        <w:rPr>
          <w:b/>
        </w:rPr>
        <w:t>(3)</w:t>
      </w:r>
      <w:r w:rsidR="00DD2376" w:rsidRPr="006F3622">
        <w:t xml:space="preserve"> </w:t>
      </w:r>
      <w:r w:rsidR="002A5D2F" w:rsidRPr="006F3622">
        <w:t xml:space="preserve">Рисковете се преценяват конкретно за всяка услуга, като се вземат предвид и </w:t>
      </w:r>
      <w:r w:rsidR="00B85D03" w:rsidRPr="006F3622">
        <w:t>конкретните намаляващи</w:t>
      </w:r>
      <w:r w:rsidR="002A5D2F" w:rsidRPr="006F3622">
        <w:t xml:space="preserve"> и</w:t>
      </w:r>
      <w:r w:rsidR="00B85D03" w:rsidRPr="006F3622">
        <w:t>/или увеличаващи</w:t>
      </w:r>
      <w:r w:rsidR="002A5D2F" w:rsidRPr="006F3622">
        <w:t xml:space="preserve"> риска обстоятелства. </w:t>
      </w:r>
    </w:p>
    <w:p w14:paraId="74227D7D" w14:textId="77777777" w:rsidR="00D75DEC" w:rsidRDefault="00DD1585" w:rsidP="00831DAB">
      <w:pPr>
        <w:tabs>
          <w:tab w:val="left" w:pos="851"/>
        </w:tabs>
        <w:jc w:val="both"/>
      </w:pPr>
      <w:r>
        <w:t xml:space="preserve">            </w:t>
      </w:r>
    </w:p>
    <w:p w14:paraId="2643E0B1" w14:textId="25461085" w:rsidR="006532E7" w:rsidRPr="006F3622" w:rsidRDefault="00D45026" w:rsidP="00831DAB">
      <w:pPr>
        <w:tabs>
          <w:tab w:val="left" w:pos="851"/>
        </w:tabs>
        <w:jc w:val="both"/>
      </w:pPr>
      <w:r>
        <w:t xml:space="preserve">            </w:t>
      </w:r>
      <w:r w:rsidR="00831DAB" w:rsidRPr="006F3622">
        <w:rPr>
          <w:b/>
        </w:rPr>
        <w:t>(</w:t>
      </w:r>
      <w:r w:rsidR="00385362">
        <w:rPr>
          <w:b/>
        </w:rPr>
        <w:t>4</w:t>
      </w:r>
      <w:r w:rsidR="00831DAB" w:rsidRPr="006F3622">
        <w:rPr>
          <w:b/>
        </w:rPr>
        <w:t>)</w:t>
      </w:r>
      <w:r w:rsidR="00831DAB" w:rsidRPr="006F3622">
        <w:t xml:space="preserve"> </w:t>
      </w:r>
      <w:r w:rsidR="002A5D2F" w:rsidRPr="006F3622">
        <w:t>При наличие на множество увеличаващи риска обстоятелства</w:t>
      </w:r>
      <w:r w:rsidR="006532E7" w:rsidRPr="006F3622">
        <w:t>,</w:t>
      </w:r>
      <w:r w:rsidR="002A5D2F" w:rsidRPr="006F3622">
        <w:t xml:space="preserve"> може да се наложи прилагане на пълна оценка на риска</w:t>
      </w:r>
      <w:r w:rsidR="00D60C33" w:rsidRPr="006F3622">
        <w:t xml:space="preserve"> (Приложение № 2)</w:t>
      </w:r>
      <w:r w:rsidR="002A5D2F" w:rsidRPr="006F3622">
        <w:t xml:space="preserve"> по </w:t>
      </w:r>
      <w:r w:rsidR="006532E7" w:rsidRPr="006F3622">
        <w:t xml:space="preserve">следната </w:t>
      </w:r>
      <w:r w:rsidR="002A5D2F" w:rsidRPr="006F3622">
        <w:t>формула:</w:t>
      </w:r>
      <w:r w:rsidR="002A5D2F" w:rsidRPr="006F3622">
        <w:rPr>
          <w:bCs/>
        </w:rPr>
        <w:t xml:space="preserve"> </w:t>
      </w:r>
    </w:p>
    <w:p w14:paraId="185DD0B9" w14:textId="77777777" w:rsidR="006532E7" w:rsidRDefault="002A5D2F" w:rsidP="006532E7">
      <w:pPr>
        <w:pStyle w:val="ListParagraph"/>
        <w:tabs>
          <w:tab w:val="left" w:pos="851"/>
        </w:tabs>
        <w:ind w:left="644"/>
        <w:jc w:val="both"/>
        <w:rPr>
          <w:b/>
          <w:bCs/>
          <w:i/>
        </w:rPr>
      </w:pPr>
      <w:r w:rsidRPr="006F3622">
        <w:rPr>
          <w:b/>
          <w:bCs/>
          <w:i/>
        </w:rPr>
        <w:t>оценка на въздействие х оценка на вероятност = оценка на риска</w:t>
      </w:r>
    </w:p>
    <w:p w14:paraId="0361EBF0" w14:textId="72C21D9D" w:rsidR="0097338C" w:rsidRPr="0097338C" w:rsidRDefault="00D45026" w:rsidP="0097338C">
      <w:pPr>
        <w:tabs>
          <w:tab w:val="left" w:pos="851"/>
        </w:tabs>
        <w:jc w:val="both"/>
        <w:rPr>
          <w:bCs/>
        </w:rPr>
      </w:pPr>
      <w:r>
        <w:rPr>
          <w:bCs/>
        </w:rPr>
        <w:lastRenderedPageBreak/>
        <w:t xml:space="preserve">            </w:t>
      </w:r>
      <w:r w:rsidR="0097338C" w:rsidRPr="0097338C">
        <w:rPr>
          <w:bCs/>
        </w:rPr>
        <w:t>(</w:t>
      </w:r>
      <w:r w:rsidR="0097338C" w:rsidRPr="0097338C">
        <w:rPr>
          <w:b/>
          <w:bCs/>
        </w:rPr>
        <w:t>5</w:t>
      </w:r>
      <w:r w:rsidR="0097338C" w:rsidRPr="0097338C">
        <w:rPr>
          <w:bCs/>
        </w:rPr>
        <w:t xml:space="preserve">) </w:t>
      </w:r>
      <w:r w:rsidR="0097338C">
        <w:t>Средствата за електронна идентификация, с които се заявяват и получат ЕАУ</w:t>
      </w:r>
      <w:r w:rsidR="00DA6563">
        <w:t>,</w:t>
      </w:r>
      <w:r w:rsidR="0097338C">
        <w:t xml:space="preserve"> следва да са с едно и също ниво на осигуреност.</w:t>
      </w:r>
    </w:p>
    <w:p w14:paraId="0957CF94" w14:textId="5D3F4EA9" w:rsidR="001A7CC0" w:rsidRDefault="00766352" w:rsidP="00766352">
      <w:pPr>
        <w:pStyle w:val="ListParagraph"/>
        <w:tabs>
          <w:tab w:val="left" w:pos="709"/>
        </w:tabs>
        <w:spacing w:after="0"/>
        <w:ind w:left="142"/>
        <w:jc w:val="both"/>
      </w:pPr>
      <w:r w:rsidRPr="006F3622">
        <w:rPr>
          <w:b/>
        </w:rPr>
        <w:tab/>
        <w:t>Чл. 11.</w:t>
      </w:r>
      <w:r w:rsidRPr="006F3622">
        <w:t xml:space="preserve"> </w:t>
      </w:r>
      <w:r w:rsidR="00EC671E" w:rsidRPr="005576D8">
        <w:rPr>
          <w:b/>
        </w:rPr>
        <w:t xml:space="preserve">(1) </w:t>
      </w:r>
      <w:r w:rsidR="00EC671E">
        <w:t xml:space="preserve">Нивата на осигуреност на средствата за електронна идентификация </w:t>
      </w:r>
      <w:r w:rsidR="003E6718">
        <w:t xml:space="preserve">съответстват на нивата на осигуреност на услугите, които се определят на базата на критериите по чл. 9 и съгласно Приложение 1. </w:t>
      </w:r>
    </w:p>
    <w:p w14:paraId="2292328F" w14:textId="77777777" w:rsidR="00D75DEC" w:rsidRDefault="001A7CC0" w:rsidP="00766352">
      <w:pPr>
        <w:pStyle w:val="ListParagraph"/>
        <w:tabs>
          <w:tab w:val="left" w:pos="709"/>
        </w:tabs>
        <w:spacing w:after="0"/>
        <w:ind w:left="142"/>
        <w:jc w:val="both"/>
      </w:pPr>
      <w:r>
        <w:tab/>
      </w:r>
    </w:p>
    <w:p w14:paraId="2CD4786B" w14:textId="6C0D8462" w:rsidR="00615753" w:rsidRPr="006F3622" w:rsidRDefault="00D75DEC" w:rsidP="00766352">
      <w:pPr>
        <w:pStyle w:val="ListParagraph"/>
        <w:tabs>
          <w:tab w:val="left" w:pos="709"/>
        </w:tabs>
        <w:spacing w:after="0"/>
        <w:ind w:left="142"/>
        <w:jc w:val="both"/>
      </w:pPr>
      <w:r>
        <w:tab/>
      </w:r>
      <w:r w:rsidR="001A7CC0" w:rsidRPr="001A7CC0">
        <w:rPr>
          <w:b/>
        </w:rPr>
        <w:t>(2)</w:t>
      </w:r>
      <w:r w:rsidR="001A7CC0">
        <w:t xml:space="preserve"> </w:t>
      </w:r>
      <w:r w:rsidR="002A5D2F" w:rsidRPr="006F3622">
        <w:t xml:space="preserve">Средствата за електронна идентификация и тяхното нивото на осигуреност, както </w:t>
      </w:r>
      <w:r w:rsidR="002A5D2F" w:rsidRPr="00A0671B">
        <w:t>и нивото</w:t>
      </w:r>
      <w:r w:rsidR="00E132FF">
        <w:t xml:space="preserve"> на осигуреност</w:t>
      </w:r>
      <w:r w:rsidR="002A5D2F" w:rsidRPr="00A0671B">
        <w:t xml:space="preserve"> на</w:t>
      </w:r>
      <w:r w:rsidR="00615753" w:rsidRPr="00A0671B">
        <w:t xml:space="preserve"> ЕАУ</w:t>
      </w:r>
      <w:r w:rsidR="002A5D2F" w:rsidRPr="006F3622">
        <w:t xml:space="preserve"> задължително се посочва</w:t>
      </w:r>
      <w:r w:rsidR="00615753" w:rsidRPr="006F3622">
        <w:t>т</w:t>
      </w:r>
      <w:r w:rsidR="002A5D2F" w:rsidRPr="006F3622">
        <w:t xml:space="preserve"> и в случаите, когато административен орган, подава заявление за присъединяване към хоризонталната система за електронна автентикация, поддържана от ДАЕУ.  </w:t>
      </w:r>
    </w:p>
    <w:p w14:paraId="66AA24C8" w14:textId="77777777" w:rsidR="006B36F2" w:rsidRPr="006F3622" w:rsidRDefault="006B36F2" w:rsidP="00766352">
      <w:pPr>
        <w:pStyle w:val="ListParagraph"/>
        <w:tabs>
          <w:tab w:val="left" w:pos="709"/>
        </w:tabs>
        <w:spacing w:after="0"/>
        <w:ind w:left="142"/>
        <w:jc w:val="both"/>
      </w:pPr>
    </w:p>
    <w:p w14:paraId="418D4659" w14:textId="5BD46DEE" w:rsidR="002A5D2F" w:rsidRPr="006F3622" w:rsidRDefault="00766352" w:rsidP="00766352">
      <w:pPr>
        <w:pStyle w:val="ListParagraph"/>
        <w:tabs>
          <w:tab w:val="left" w:pos="709"/>
        </w:tabs>
        <w:spacing w:after="0"/>
        <w:ind w:left="142"/>
        <w:jc w:val="both"/>
      </w:pPr>
      <w:r w:rsidRPr="006F3622">
        <w:rPr>
          <w:b/>
        </w:rPr>
        <w:tab/>
        <w:t>Чл. 12.</w:t>
      </w:r>
      <w:r w:rsidRPr="006F3622">
        <w:rPr>
          <w:b/>
          <w:i/>
        </w:rPr>
        <w:t xml:space="preserve"> </w:t>
      </w:r>
      <w:r w:rsidR="002A5D2F" w:rsidRPr="006F3622">
        <w:t>Отговорността за определяне на необходимите нива на осигуреност и риск за всяка услуга е на отделния доставчик на услуги (административен орган), който отговаря за данните, които се достъпват чрез определеното ниво на осигуреност.</w:t>
      </w:r>
    </w:p>
    <w:p w14:paraId="7DA81636" w14:textId="77777777" w:rsidR="00F145A9" w:rsidRPr="006F3622" w:rsidRDefault="00F145A9" w:rsidP="00F145A9">
      <w:pPr>
        <w:tabs>
          <w:tab w:val="left" w:pos="709"/>
        </w:tabs>
        <w:spacing w:after="0"/>
        <w:ind w:left="360"/>
        <w:jc w:val="both"/>
        <w:rPr>
          <w:rFonts w:eastAsia="Times New Roman" w:cs="Times New Roman"/>
          <w:szCs w:val="24"/>
          <w:lang w:eastAsia="bg-BG"/>
        </w:rPr>
      </w:pPr>
    </w:p>
    <w:p w14:paraId="4BF086CA" w14:textId="77777777" w:rsidR="0005317D" w:rsidRPr="006F3622" w:rsidRDefault="0005317D" w:rsidP="00FA0080">
      <w:pPr>
        <w:tabs>
          <w:tab w:val="left" w:pos="1348"/>
        </w:tabs>
        <w:spacing w:after="0"/>
        <w:jc w:val="center"/>
        <w:rPr>
          <w:b/>
        </w:rPr>
      </w:pPr>
    </w:p>
    <w:p w14:paraId="0EB8C51B" w14:textId="77777777" w:rsidR="002A5D2F" w:rsidRPr="006F3622" w:rsidRDefault="002A5D2F" w:rsidP="00FA0080">
      <w:pPr>
        <w:tabs>
          <w:tab w:val="left" w:pos="1348"/>
        </w:tabs>
        <w:spacing w:after="0"/>
        <w:jc w:val="center"/>
        <w:rPr>
          <w:b/>
        </w:rPr>
      </w:pPr>
      <w:r w:rsidRPr="006F3622">
        <w:rPr>
          <w:b/>
        </w:rPr>
        <w:t>ЗАКЛЮЧИТЕЛНИ РАЗПОРЕДБИ</w:t>
      </w:r>
    </w:p>
    <w:p w14:paraId="616E4DF6" w14:textId="77777777" w:rsidR="002A5D2F" w:rsidRPr="006F3622" w:rsidRDefault="002A5D2F" w:rsidP="00895722">
      <w:pPr>
        <w:tabs>
          <w:tab w:val="left" w:pos="1348"/>
        </w:tabs>
        <w:spacing w:after="0"/>
      </w:pPr>
    </w:p>
    <w:p w14:paraId="28377581" w14:textId="5618F005" w:rsidR="006C15CC" w:rsidRPr="006F3622" w:rsidRDefault="004560F5" w:rsidP="00B85D03">
      <w:pPr>
        <w:tabs>
          <w:tab w:val="left" w:pos="1348"/>
        </w:tabs>
        <w:spacing w:after="0"/>
      </w:pPr>
      <w:r>
        <w:rPr>
          <w:b/>
        </w:rPr>
        <w:t xml:space="preserve">           </w:t>
      </w:r>
      <w:r w:rsidR="002A5D2F" w:rsidRPr="006F3622">
        <w:rPr>
          <w:b/>
        </w:rPr>
        <w:t>§ 1.</w:t>
      </w:r>
      <w:r w:rsidR="00397AEA" w:rsidRPr="006F3622">
        <w:t xml:space="preserve"> Настоящата методика се издава</w:t>
      </w:r>
      <w:r w:rsidR="002A5D2F" w:rsidRPr="006F3622">
        <w:t xml:space="preserve"> на основание чл. 7в, т. 1, б. “в“ във връзка с чл. 5 от ЗЕУ.</w:t>
      </w:r>
    </w:p>
    <w:p w14:paraId="72A3A62F" w14:textId="77777777" w:rsidR="006C15CC" w:rsidRPr="006F3622" w:rsidRDefault="006C15CC" w:rsidP="00895722">
      <w:pPr>
        <w:tabs>
          <w:tab w:val="left" w:pos="1348"/>
        </w:tabs>
        <w:spacing w:after="0"/>
        <w:ind w:left="7080"/>
      </w:pPr>
    </w:p>
    <w:p w14:paraId="6A69665F" w14:textId="77777777" w:rsidR="009E4B57" w:rsidRPr="006F3622" w:rsidRDefault="009E4B57" w:rsidP="00895722">
      <w:pPr>
        <w:tabs>
          <w:tab w:val="left" w:pos="1348"/>
        </w:tabs>
        <w:spacing w:after="0"/>
        <w:ind w:left="7080"/>
      </w:pPr>
    </w:p>
    <w:p w14:paraId="68894B29" w14:textId="77777777" w:rsidR="009E4B57" w:rsidRPr="006F3622" w:rsidRDefault="009E4B57" w:rsidP="00895722">
      <w:pPr>
        <w:tabs>
          <w:tab w:val="left" w:pos="1348"/>
        </w:tabs>
        <w:spacing w:after="0"/>
        <w:ind w:left="7080"/>
      </w:pPr>
    </w:p>
    <w:p w14:paraId="76155F60" w14:textId="77777777" w:rsidR="009E4B57" w:rsidRPr="006F3622" w:rsidRDefault="009E4B57" w:rsidP="00895722">
      <w:pPr>
        <w:tabs>
          <w:tab w:val="left" w:pos="1348"/>
        </w:tabs>
        <w:spacing w:after="0"/>
        <w:ind w:left="7080"/>
      </w:pPr>
    </w:p>
    <w:p w14:paraId="2CF8CCE7" w14:textId="77777777" w:rsidR="009E4B57" w:rsidRPr="006F3622" w:rsidRDefault="009E4B57" w:rsidP="00895722">
      <w:pPr>
        <w:tabs>
          <w:tab w:val="left" w:pos="1348"/>
        </w:tabs>
        <w:spacing w:after="0"/>
        <w:ind w:left="7080"/>
      </w:pPr>
    </w:p>
    <w:p w14:paraId="5FD98A77" w14:textId="77777777" w:rsidR="009E4B57" w:rsidRPr="006F3622" w:rsidRDefault="009E4B57" w:rsidP="00895722">
      <w:pPr>
        <w:tabs>
          <w:tab w:val="left" w:pos="1348"/>
        </w:tabs>
        <w:spacing w:after="0"/>
        <w:ind w:left="7080"/>
      </w:pPr>
    </w:p>
    <w:p w14:paraId="37A1DB30" w14:textId="77777777" w:rsidR="009E4B57" w:rsidRPr="006F3622" w:rsidRDefault="009E4B57" w:rsidP="00895722">
      <w:pPr>
        <w:tabs>
          <w:tab w:val="left" w:pos="1348"/>
        </w:tabs>
        <w:spacing w:after="0"/>
        <w:ind w:left="7080"/>
      </w:pPr>
    </w:p>
    <w:p w14:paraId="57627FC0" w14:textId="77777777" w:rsidR="009E4B57" w:rsidRPr="006F3622" w:rsidRDefault="009E4B57" w:rsidP="00895722">
      <w:pPr>
        <w:tabs>
          <w:tab w:val="left" w:pos="1348"/>
        </w:tabs>
        <w:spacing w:after="0"/>
        <w:ind w:left="7080"/>
      </w:pPr>
    </w:p>
    <w:p w14:paraId="78CBD53E" w14:textId="77777777" w:rsidR="009E4B57" w:rsidRPr="006F3622" w:rsidRDefault="009E4B57" w:rsidP="00895722">
      <w:pPr>
        <w:tabs>
          <w:tab w:val="left" w:pos="1348"/>
        </w:tabs>
        <w:spacing w:after="0"/>
        <w:ind w:left="7080"/>
      </w:pPr>
    </w:p>
    <w:p w14:paraId="3EC0AC53" w14:textId="77777777" w:rsidR="009E4B57" w:rsidRDefault="009E4B57" w:rsidP="00895722">
      <w:pPr>
        <w:tabs>
          <w:tab w:val="left" w:pos="1348"/>
        </w:tabs>
        <w:spacing w:after="0"/>
        <w:ind w:left="7080"/>
      </w:pPr>
    </w:p>
    <w:p w14:paraId="5824B840" w14:textId="77777777" w:rsidR="00115E45" w:rsidRDefault="00115E45" w:rsidP="00895722">
      <w:pPr>
        <w:tabs>
          <w:tab w:val="left" w:pos="1348"/>
        </w:tabs>
        <w:spacing w:after="0"/>
        <w:ind w:left="7080"/>
      </w:pPr>
    </w:p>
    <w:p w14:paraId="13BD4EB6" w14:textId="77777777" w:rsidR="00115E45" w:rsidRDefault="00115E45" w:rsidP="00895722">
      <w:pPr>
        <w:tabs>
          <w:tab w:val="left" w:pos="1348"/>
        </w:tabs>
        <w:spacing w:after="0"/>
        <w:ind w:left="7080"/>
      </w:pPr>
    </w:p>
    <w:p w14:paraId="60815F54" w14:textId="77777777" w:rsidR="00115E45" w:rsidRDefault="00115E45" w:rsidP="00895722">
      <w:pPr>
        <w:tabs>
          <w:tab w:val="left" w:pos="1348"/>
        </w:tabs>
        <w:spacing w:after="0"/>
        <w:ind w:left="7080"/>
      </w:pPr>
    </w:p>
    <w:p w14:paraId="5E32F0BB" w14:textId="77777777" w:rsidR="00115E45" w:rsidRDefault="00115E45" w:rsidP="00895722">
      <w:pPr>
        <w:tabs>
          <w:tab w:val="left" w:pos="1348"/>
        </w:tabs>
        <w:spacing w:after="0"/>
        <w:ind w:left="7080"/>
      </w:pPr>
    </w:p>
    <w:p w14:paraId="634A2041" w14:textId="77777777" w:rsidR="00115E45" w:rsidRDefault="00115E45" w:rsidP="00895722">
      <w:pPr>
        <w:tabs>
          <w:tab w:val="left" w:pos="1348"/>
        </w:tabs>
        <w:spacing w:after="0"/>
        <w:ind w:left="7080"/>
      </w:pPr>
    </w:p>
    <w:p w14:paraId="2DC45427" w14:textId="77777777" w:rsidR="00115E45" w:rsidRDefault="00115E45" w:rsidP="00895722">
      <w:pPr>
        <w:tabs>
          <w:tab w:val="left" w:pos="1348"/>
        </w:tabs>
        <w:spacing w:after="0"/>
        <w:ind w:left="7080"/>
      </w:pPr>
    </w:p>
    <w:p w14:paraId="5FDD1D47" w14:textId="77777777" w:rsidR="00115E45" w:rsidRDefault="00115E45" w:rsidP="00895722">
      <w:pPr>
        <w:tabs>
          <w:tab w:val="left" w:pos="1348"/>
        </w:tabs>
        <w:spacing w:after="0"/>
        <w:ind w:left="7080"/>
      </w:pPr>
    </w:p>
    <w:p w14:paraId="40B92714" w14:textId="77777777" w:rsidR="00115E45" w:rsidRDefault="00115E45" w:rsidP="00895722">
      <w:pPr>
        <w:tabs>
          <w:tab w:val="left" w:pos="1348"/>
        </w:tabs>
        <w:spacing w:after="0"/>
        <w:ind w:left="7080"/>
      </w:pPr>
    </w:p>
    <w:p w14:paraId="1A1CEE87" w14:textId="77777777" w:rsidR="00115E45" w:rsidRDefault="00115E45" w:rsidP="00895722">
      <w:pPr>
        <w:tabs>
          <w:tab w:val="left" w:pos="1348"/>
        </w:tabs>
        <w:spacing w:after="0"/>
        <w:ind w:left="7080"/>
      </w:pPr>
    </w:p>
    <w:p w14:paraId="62F776B9" w14:textId="77777777" w:rsidR="00115E45" w:rsidRDefault="00115E45" w:rsidP="00895722">
      <w:pPr>
        <w:tabs>
          <w:tab w:val="left" w:pos="1348"/>
        </w:tabs>
        <w:spacing w:after="0"/>
        <w:ind w:left="7080"/>
      </w:pPr>
    </w:p>
    <w:p w14:paraId="4A929490" w14:textId="77777777" w:rsidR="00115E45" w:rsidRDefault="00115E45" w:rsidP="00895722">
      <w:pPr>
        <w:tabs>
          <w:tab w:val="left" w:pos="1348"/>
        </w:tabs>
        <w:spacing w:after="0"/>
        <w:ind w:left="7080"/>
      </w:pPr>
    </w:p>
    <w:p w14:paraId="745A2DBA" w14:textId="77777777" w:rsidR="00115E45" w:rsidRDefault="00115E45" w:rsidP="00895722">
      <w:pPr>
        <w:tabs>
          <w:tab w:val="left" w:pos="1348"/>
        </w:tabs>
        <w:spacing w:after="0"/>
        <w:ind w:left="7080"/>
      </w:pPr>
    </w:p>
    <w:p w14:paraId="42993B78" w14:textId="77777777" w:rsidR="00115E45" w:rsidRDefault="00115E45" w:rsidP="00895722">
      <w:pPr>
        <w:tabs>
          <w:tab w:val="left" w:pos="1348"/>
        </w:tabs>
        <w:spacing w:after="0"/>
        <w:ind w:left="7080"/>
      </w:pPr>
    </w:p>
    <w:p w14:paraId="0B8B5106" w14:textId="77777777" w:rsidR="00115E45" w:rsidRDefault="00115E45" w:rsidP="00895722">
      <w:pPr>
        <w:tabs>
          <w:tab w:val="left" w:pos="1348"/>
        </w:tabs>
        <w:spacing w:after="0"/>
        <w:ind w:left="7080"/>
      </w:pPr>
    </w:p>
    <w:p w14:paraId="7AB01244" w14:textId="77777777" w:rsidR="00115E45" w:rsidRDefault="00115E45" w:rsidP="00895722">
      <w:pPr>
        <w:tabs>
          <w:tab w:val="left" w:pos="1348"/>
        </w:tabs>
        <w:spacing w:after="0"/>
        <w:ind w:left="7080"/>
      </w:pPr>
    </w:p>
    <w:p w14:paraId="4FB9B8A8" w14:textId="77777777" w:rsidR="00115E45" w:rsidRDefault="00115E45" w:rsidP="00895722">
      <w:pPr>
        <w:tabs>
          <w:tab w:val="left" w:pos="1348"/>
        </w:tabs>
        <w:spacing w:after="0"/>
        <w:ind w:left="7080"/>
      </w:pPr>
    </w:p>
    <w:p w14:paraId="4B3DEA96" w14:textId="77777777" w:rsidR="002A5D2F" w:rsidRPr="006F3622" w:rsidRDefault="002A5D2F" w:rsidP="00895722">
      <w:pPr>
        <w:tabs>
          <w:tab w:val="left" w:pos="1348"/>
        </w:tabs>
        <w:spacing w:after="0"/>
        <w:ind w:left="7080"/>
        <w:rPr>
          <w:b/>
        </w:rPr>
      </w:pPr>
      <w:r w:rsidRPr="006F3622">
        <w:rPr>
          <w:b/>
        </w:rPr>
        <w:lastRenderedPageBreak/>
        <w:t>Приложение № 1</w:t>
      </w:r>
    </w:p>
    <w:p w14:paraId="3771EBC8" w14:textId="77777777" w:rsidR="00805926" w:rsidRPr="006F3622" w:rsidRDefault="00805926" w:rsidP="00895722">
      <w:pPr>
        <w:tabs>
          <w:tab w:val="left" w:pos="1348"/>
        </w:tabs>
        <w:spacing w:after="0"/>
        <w:ind w:left="7080"/>
      </w:pPr>
    </w:p>
    <w:p w14:paraId="32FDFB1B" w14:textId="640676F2" w:rsidR="008F485B" w:rsidRPr="006F3622" w:rsidRDefault="008F485B" w:rsidP="00D63C09">
      <w:pPr>
        <w:tabs>
          <w:tab w:val="left" w:pos="1348"/>
        </w:tabs>
        <w:spacing w:after="0"/>
        <w:jc w:val="center"/>
        <w:rPr>
          <w:b/>
        </w:rPr>
      </w:pPr>
      <w:r w:rsidRPr="006F3622">
        <w:rPr>
          <w:b/>
        </w:rPr>
        <w:t xml:space="preserve">Метод за определяне </w:t>
      </w:r>
      <w:r w:rsidR="0096550A">
        <w:rPr>
          <w:b/>
        </w:rPr>
        <w:t xml:space="preserve">на </w:t>
      </w:r>
      <w:r w:rsidRPr="006F3622">
        <w:rPr>
          <w:b/>
        </w:rPr>
        <w:t>ниво</w:t>
      </w:r>
      <w:r w:rsidR="0096550A">
        <w:rPr>
          <w:b/>
        </w:rPr>
        <w:t>то</w:t>
      </w:r>
      <w:r w:rsidRPr="006F3622">
        <w:rPr>
          <w:b/>
        </w:rPr>
        <w:t xml:space="preserve"> на осигуреност </w:t>
      </w:r>
      <w:r w:rsidR="0096550A" w:rsidRPr="006F3622">
        <w:rPr>
          <w:b/>
        </w:rPr>
        <w:t xml:space="preserve">на средствата за електронна идентификация </w:t>
      </w:r>
      <w:r w:rsidRPr="006F3622">
        <w:rPr>
          <w:b/>
        </w:rPr>
        <w:t xml:space="preserve">на базата на ключови критерии </w:t>
      </w:r>
      <w:r w:rsidR="00684221" w:rsidRPr="006F3622">
        <w:rPr>
          <w:b/>
        </w:rPr>
        <w:t xml:space="preserve">за </w:t>
      </w:r>
      <w:r w:rsidR="00E06CBA" w:rsidRPr="006F3622">
        <w:rPr>
          <w:b/>
        </w:rPr>
        <w:t xml:space="preserve">опростена </w:t>
      </w:r>
      <w:r w:rsidR="00684221" w:rsidRPr="006F3622">
        <w:rPr>
          <w:b/>
        </w:rPr>
        <w:t xml:space="preserve">оценка на риска при </w:t>
      </w:r>
      <w:r w:rsidRPr="006F3622">
        <w:rPr>
          <w:b/>
        </w:rPr>
        <w:t>предоставяните ЕАУ</w:t>
      </w:r>
    </w:p>
    <w:p w14:paraId="54B6C61B" w14:textId="77777777" w:rsidR="006631E8" w:rsidRPr="006F3622" w:rsidRDefault="006631E8" w:rsidP="00D63C09">
      <w:pPr>
        <w:tabs>
          <w:tab w:val="left" w:pos="1348"/>
        </w:tabs>
        <w:spacing w:after="0"/>
        <w:jc w:val="center"/>
        <w:rPr>
          <w:b/>
        </w:rPr>
      </w:pPr>
    </w:p>
    <w:p w14:paraId="56F47F4A" w14:textId="77777777" w:rsidR="008F485B" w:rsidRPr="006F3622" w:rsidRDefault="008F485B" w:rsidP="00895722">
      <w:pPr>
        <w:tabs>
          <w:tab w:val="left" w:pos="1348"/>
        </w:tabs>
        <w:spacing w:after="0"/>
      </w:pPr>
    </w:p>
    <w:tbl>
      <w:tblPr>
        <w:tblStyle w:val="TableGrid"/>
        <w:tblW w:w="9493" w:type="dxa"/>
        <w:tblLook w:val="04A0" w:firstRow="1" w:lastRow="0" w:firstColumn="1" w:lastColumn="0" w:noHBand="0" w:noVBand="1"/>
      </w:tblPr>
      <w:tblGrid>
        <w:gridCol w:w="6941"/>
        <w:gridCol w:w="2552"/>
      </w:tblGrid>
      <w:tr w:rsidR="002A5D2F" w:rsidRPr="006F3622" w14:paraId="77F90DA6" w14:textId="77777777" w:rsidTr="00805926">
        <w:tc>
          <w:tcPr>
            <w:tcW w:w="6941" w:type="dxa"/>
          </w:tcPr>
          <w:p w14:paraId="094AB012" w14:textId="44A77F45" w:rsidR="002A5D2F" w:rsidRPr="006F3622" w:rsidRDefault="002A5D2F" w:rsidP="00A623D7">
            <w:pPr>
              <w:tabs>
                <w:tab w:val="left" w:pos="1348"/>
              </w:tabs>
              <w:spacing w:line="259" w:lineRule="auto"/>
              <w:jc w:val="center"/>
              <w:rPr>
                <w:b/>
                <w:sz w:val="22"/>
              </w:rPr>
            </w:pPr>
            <w:r w:rsidRPr="006F3622">
              <w:rPr>
                <w:b/>
                <w:sz w:val="22"/>
              </w:rPr>
              <w:t>Критерии</w:t>
            </w:r>
            <w:r w:rsidR="00805926" w:rsidRPr="006F3622">
              <w:rPr>
                <w:b/>
                <w:sz w:val="22"/>
              </w:rPr>
              <w:t xml:space="preserve"> по отношение на ЕАУ</w:t>
            </w:r>
          </w:p>
        </w:tc>
        <w:tc>
          <w:tcPr>
            <w:tcW w:w="2552" w:type="dxa"/>
          </w:tcPr>
          <w:p w14:paraId="11515365" w14:textId="1EC57DEA" w:rsidR="002A5D2F" w:rsidRPr="006F3622" w:rsidRDefault="002A5D2F" w:rsidP="00A623D7">
            <w:pPr>
              <w:tabs>
                <w:tab w:val="left" w:pos="1348"/>
              </w:tabs>
              <w:spacing w:line="259" w:lineRule="auto"/>
              <w:jc w:val="center"/>
              <w:rPr>
                <w:b/>
                <w:sz w:val="22"/>
              </w:rPr>
            </w:pPr>
            <w:r w:rsidRPr="006F3622">
              <w:rPr>
                <w:b/>
                <w:sz w:val="22"/>
              </w:rPr>
              <w:t>Ниво на осигуреност</w:t>
            </w:r>
            <w:r w:rsidR="008F485B" w:rsidRPr="006F3622">
              <w:rPr>
                <w:b/>
                <w:sz w:val="22"/>
              </w:rPr>
              <w:t xml:space="preserve"> на средствата за електронна идентификация</w:t>
            </w:r>
          </w:p>
        </w:tc>
      </w:tr>
      <w:tr w:rsidR="002A5D2F" w:rsidRPr="006F3622" w14:paraId="541F8D1C" w14:textId="77777777" w:rsidTr="00805926">
        <w:tc>
          <w:tcPr>
            <w:tcW w:w="6941" w:type="dxa"/>
          </w:tcPr>
          <w:p w14:paraId="288D8FD8" w14:textId="77777777" w:rsidR="000B6EAF" w:rsidRPr="006F3622" w:rsidRDefault="000B6EAF" w:rsidP="00895722">
            <w:pPr>
              <w:numPr>
                <w:ilvl w:val="0"/>
                <w:numId w:val="11"/>
              </w:numPr>
              <w:tabs>
                <w:tab w:val="left" w:pos="1348"/>
              </w:tabs>
              <w:spacing w:line="259" w:lineRule="auto"/>
              <w:jc w:val="both"/>
              <w:rPr>
                <w:sz w:val="22"/>
              </w:rPr>
            </w:pPr>
            <w:r w:rsidRPr="006F3622">
              <w:rPr>
                <w:sz w:val="22"/>
              </w:rPr>
              <w:t>Не се обработват лични данни;</w:t>
            </w:r>
          </w:p>
          <w:p w14:paraId="59D412BB" w14:textId="50192607" w:rsidR="000B6EAF" w:rsidRPr="006F3622" w:rsidRDefault="000B6EAF" w:rsidP="00895722">
            <w:pPr>
              <w:numPr>
                <w:ilvl w:val="0"/>
                <w:numId w:val="11"/>
              </w:numPr>
              <w:tabs>
                <w:tab w:val="left" w:pos="1348"/>
              </w:tabs>
              <w:spacing w:line="259" w:lineRule="auto"/>
              <w:jc w:val="both"/>
              <w:rPr>
                <w:sz w:val="22"/>
              </w:rPr>
            </w:pPr>
            <w:r w:rsidRPr="006F3622">
              <w:rPr>
                <w:sz w:val="22"/>
              </w:rPr>
              <w:t xml:space="preserve">Не се </w:t>
            </w:r>
            <w:r w:rsidR="003F1832" w:rsidRPr="006F3622">
              <w:rPr>
                <w:sz w:val="22"/>
              </w:rPr>
              <w:t>из</w:t>
            </w:r>
            <w:r w:rsidRPr="006F3622">
              <w:rPr>
                <w:sz w:val="22"/>
              </w:rPr>
              <w:t>ползва ЕГН</w:t>
            </w:r>
            <w:r w:rsidR="003F1832" w:rsidRPr="006F3622">
              <w:rPr>
                <w:sz w:val="22"/>
              </w:rPr>
              <w:t>;</w:t>
            </w:r>
          </w:p>
          <w:p w14:paraId="121D34C4" w14:textId="27F98D4D" w:rsidR="000B6EAF" w:rsidRPr="006F3622" w:rsidRDefault="000B6EAF" w:rsidP="00895722">
            <w:pPr>
              <w:pStyle w:val="ListParagraph"/>
              <w:numPr>
                <w:ilvl w:val="0"/>
                <w:numId w:val="12"/>
              </w:numPr>
              <w:tabs>
                <w:tab w:val="left" w:pos="1348"/>
              </w:tabs>
              <w:spacing w:line="259" w:lineRule="auto"/>
              <w:jc w:val="both"/>
              <w:rPr>
                <w:sz w:val="22"/>
              </w:rPr>
            </w:pPr>
            <w:r w:rsidRPr="006F3622">
              <w:rPr>
                <w:sz w:val="22"/>
              </w:rPr>
              <w:t>Няма правни последици;</w:t>
            </w:r>
          </w:p>
          <w:p w14:paraId="057E09A4" w14:textId="77777777" w:rsidR="000B6EAF" w:rsidRPr="006F3622" w:rsidRDefault="000B6EAF" w:rsidP="00895722">
            <w:pPr>
              <w:numPr>
                <w:ilvl w:val="0"/>
                <w:numId w:val="11"/>
              </w:numPr>
              <w:tabs>
                <w:tab w:val="left" w:pos="1348"/>
              </w:tabs>
              <w:spacing w:line="259" w:lineRule="auto"/>
              <w:jc w:val="both"/>
              <w:rPr>
                <w:sz w:val="22"/>
              </w:rPr>
            </w:pPr>
            <w:r w:rsidRPr="006F3622">
              <w:rPr>
                <w:sz w:val="22"/>
              </w:rPr>
              <w:t>Не настъпват изменения в ключови регистри;</w:t>
            </w:r>
          </w:p>
          <w:p w14:paraId="4F44822A" w14:textId="77777777" w:rsidR="000B6EAF" w:rsidRPr="006F3622" w:rsidRDefault="000B6EAF" w:rsidP="00895722">
            <w:pPr>
              <w:numPr>
                <w:ilvl w:val="0"/>
                <w:numId w:val="11"/>
              </w:numPr>
              <w:tabs>
                <w:tab w:val="left" w:pos="1348"/>
              </w:tabs>
              <w:spacing w:line="259" w:lineRule="auto"/>
              <w:jc w:val="both"/>
              <w:rPr>
                <w:sz w:val="22"/>
              </w:rPr>
            </w:pPr>
            <w:r w:rsidRPr="006F3622">
              <w:rPr>
                <w:sz w:val="22"/>
              </w:rPr>
              <w:t>Няма икономически интерес;</w:t>
            </w:r>
          </w:p>
          <w:p w14:paraId="124257D5" w14:textId="77777777" w:rsidR="002A5D2F" w:rsidRPr="006F3622" w:rsidRDefault="000B6EAF" w:rsidP="00895722">
            <w:pPr>
              <w:numPr>
                <w:ilvl w:val="0"/>
                <w:numId w:val="11"/>
              </w:numPr>
              <w:tabs>
                <w:tab w:val="left" w:pos="1348"/>
              </w:tabs>
              <w:spacing w:line="259" w:lineRule="auto"/>
              <w:jc w:val="both"/>
              <w:rPr>
                <w:sz w:val="22"/>
              </w:rPr>
            </w:pPr>
            <w:r w:rsidRPr="006F3622">
              <w:rPr>
                <w:sz w:val="22"/>
              </w:rPr>
              <w:t>Няма публичен интерес.</w:t>
            </w:r>
          </w:p>
        </w:tc>
        <w:tc>
          <w:tcPr>
            <w:tcW w:w="2552" w:type="dxa"/>
          </w:tcPr>
          <w:p w14:paraId="1630404D" w14:textId="717951E3" w:rsidR="002A5D2F" w:rsidRPr="006F3622" w:rsidRDefault="008F485B" w:rsidP="00895722">
            <w:pPr>
              <w:tabs>
                <w:tab w:val="left" w:pos="1348"/>
              </w:tabs>
              <w:spacing w:line="259" w:lineRule="auto"/>
              <w:rPr>
                <w:sz w:val="22"/>
              </w:rPr>
            </w:pPr>
            <w:r w:rsidRPr="006F3622">
              <w:rPr>
                <w:sz w:val="22"/>
              </w:rPr>
              <w:t>не се изисква</w:t>
            </w:r>
            <w:r w:rsidR="003F1832" w:rsidRPr="006F3622">
              <w:rPr>
                <w:sz w:val="22"/>
              </w:rPr>
              <w:t xml:space="preserve"> ниво на осигуреност</w:t>
            </w:r>
          </w:p>
        </w:tc>
      </w:tr>
      <w:tr w:rsidR="002A5D2F" w:rsidRPr="006F3622" w14:paraId="0FE3013A" w14:textId="77777777" w:rsidTr="00805926">
        <w:tc>
          <w:tcPr>
            <w:tcW w:w="6941" w:type="dxa"/>
          </w:tcPr>
          <w:p w14:paraId="7428F78C" w14:textId="62054C82" w:rsidR="003F1832" w:rsidRPr="006F3622" w:rsidRDefault="003F1832" w:rsidP="00895722">
            <w:pPr>
              <w:numPr>
                <w:ilvl w:val="0"/>
                <w:numId w:val="11"/>
              </w:numPr>
              <w:tabs>
                <w:tab w:val="left" w:pos="1348"/>
              </w:tabs>
              <w:spacing w:line="259" w:lineRule="auto"/>
              <w:jc w:val="both"/>
              <w:rPr>
                <w:sz w:val="22"/>
              </w:rPr>
            </w:pPr>
            <w:r w:rsidRPr="006F3622">
              <w:rPr>
                <w:sz w:val="22"/>
              </w:rPr>
              <w:t xml:space="preserve">Обработват се лични данни с </w:t>
            </w:r>
            <w:r w:rsidR="00304C33">
              <w:rPr>
                <w:sz w:val="22"/>
              </w:rPr>
              <w:t>незначителен</w:t>
            </w:r>
            <w:r w:rsidRPr="006F3622">
              <w:rPr>
                <w:sz w:val="22"/>
              </w:rPr>
              <w:t xml:space="preserve"> риск;</w:t>
            </w:r>
          </w:p>
          <w:p w14:paraId="62ADAE1E" w14:textId="0B3113AB" w:rsidR="003F1832" w:rsidRPr="006F3622" w:rsidRDefault="003F1832" w:rsidP="00895722">
            <w:pPr>
              <w:numPr>
                <w:ilvl w:val="0"/>
                <w:numId w:val="11"/>
              </w:numPr>
              <w:tabs>
                <w:tab w:val="left" w:pos="1348"/>
              </w:tabs>
              <w:spacing w:line="259" w:lineRule="auto"/>
              <w:jc w:val="both"/>
              <w:rPr>
                <w:sz w:val="22"/>
              </w:rPr>
            </w:pPr>
            <w:r w:rsidRPr="006F3622">
              <w:rPr>
                <w:sz w:val="22"/>
              </w:rPr>
              <w:t>Обработва се ЕГН;</w:t>
            </w:r>
          </w:p>
          <w:p w14:paraId="3BFDA345" w14:textId="74CC4C47" w:rsidR="003F1832" w:rsidRPr="006F3622" w:rsidRDefault="003F1832" w:rsidP="00895722">
            <w:pPr>
              <w:numPr>
                <w:ilvl w:val="0"/>
                <w:numId w:val="11"/>
              </w:numPr>
              <w:tabs>
                <w:tab w:val="left" w:pos="1348"/>
              </w:tabs>
              <w:spacing w:line="259" w:lineRule="auto"/>
              <w:jc w:val="both"/>
              <w:rPr>
                <w:sz w:val="22"/>
              </w:rPr>
            </w:pPr>
            <w:r w:rsidRPr="006F3622">
              <w:rPr>
                <w:sz w:val="22"/>
              </w:rPr>
              <w:t>Има косвени правни последици;</w:t>
            </w:r>
          </w:p>
          <w:p w14:paraId="0C6D56E6" w14:textId="5C9732BB" w:rsidR="003F1832" w:rsidRPr="006F3622" w:rsidRDefault="003F1832" w:rsidP="00895722">
            <w:pPr>
              <w:numPr>
                <w:ilvl w:val="0"/>
                <w:numId w:val="11"/>
              </w:numPr>
              <w:tabs>
                <w:tab w:val="left" w:pos="1348"/>
              </w:tabs>
              <w:spacing w:line="259" w:lineRule="auto"/>
              <w:jc w:val="both"/>
              <w:rPr>
                <w:sz w:val="22"/>
              </w:rPr>
            </w:pPr>
            <w:r w:rsidRPr="006F3622">
              <w:rPr>
                <w:sz w:val="22"/>
              </w:rPr>
              <w:t>Изменения само на нерискови данни от ключови регистри;</w:t>
            </w:r>
          </w:p>
          <w:p w14:paraId="59AB7E4F" w14:textId="2F82225A" w:rsidR="003F1832" w:rsidRPr="006F3622" w:rsidRDefault="003F1832" w:rsidP="00895722">
            <w:pPr>
              <w:numPr>
                <w:ilvl w:val="0"/>
                <w:numId w:val="11"/>
              </w:numPr>
              <w:tabs>
                <w:tab w:val="left" w:pos="1348"/>
              </w:tabs>
              <w:spacing w:line="259" w:lineRule="auto"/>
              <w:jc w:val="both"/>
              <w:rPr>
                <w:sz w:val="22"/>
              </w:rPr>
            </w:pPr>
            <w:r w:rsidRPr="006F3622">
              <w:rPr>
                <w:sz w:val="22"/>
              </w:rPr>
              <w:t>Нисък икономически интерес;</w:t>
            </w:r>
          </w:p>
          <w:p w14:paraId="59753B6B" w14:textId="2E6C982F" w:rsidR="002A5D2F" w:rsidRPr="006F3622" w:rsidRDefault="003F1832" w:rsidP="00895722">
            <w:pPr>
              <w:numPr>
                <w:ilvl w:val="0"/>
                <w:numId w:val="11"/>
              </w:numPr>
              <w:tabs>
                <w:tab w:val="left" w:pos="1348"/>
              </w:tabs>
              <w:spacing w:line="259" w:lineRule="auto"/>
              <w:jc w:val="both"/>
              <w:rPr>
                <w:sz w:val="22"/>
              </w:rPr>
            </w:pPr>
            <w:r w:rsidRPr="006F3622">
              <w:rPr>
                <w:sz w:val="22"/>
              </w:rPr>
              <w:t>Нисък публичен интерес.</w:t>
            </w:r>
          </w:p>
        </w:tc>
        <w:tc>
          <w:tcPr>
            <w:tcW w:w="2552" w:type="dxa"/>
          </w:tcPr>
          <w:p w14:paraId="01756652" w14:textId="08105772" w:rsidR="002A5D2F" w:rsidRPr="006F3622" w:rsidRDefault="003F1832" w:rsidP="00895722">
            <w:pPr>
              <w:tabs>
                <w:tab w:val="left" w:pos="1348"/>
              </w:tabs>
              <w:spacing w:line="259" w:lineRule="auto"/>
              <w:rPr>
                <w:sz w:val="22"/>
              </w:rPr>
            </w:pPr>
            <w:r w:rsidRPr="006F3622">
              <w:rPr>
                <w:sz w:val="22"/>
              </w:rPr>
              <w:t>ниско</w:t>
            </w:r>
          </w:p>
        </w:tc>
      </w:tr>
      <w:tr w:rsidR="002A5D2F" w:rsidRPr="006F3622" w14:paraId="473CD4E8" w14:textId="77777777" w:rsidTr="00805926">
        <w:tc>
          <w:tcPr>
            <w:tcW w:w="6941" w:type="dxa"/>
          </w:tcPr>
          <w:p w14:paraId="36FEFD13" w14:textId="6B52DEF9" w:rsidR="003F1832" w:rsidRPr="006F3622" w:rsidRDefault="003F1832" w:rsidP="00895722">
            <w:pPr>
              <w:numPr>
                <w:ilvl w:val="0"/>
                <w:numId w:val="11"/>
              </w:numPr>
              <w:tabs>
                <w:tab w:val="left" w:pos="1348"/>
              </w:tabs>
              <w:spacing w:line="259" w:lineRule="auto"/>
              <w:jc w:val="both"/>
              <w:rPr>
                <w:sz w:val="22"/>
              </w:rPr>
            </w:pPr>
            <w:r w:rsidRPr="006F3622">
              <w:rPr>
                <w:sz w:val="22"/>
              </w:rPr>
              <w:t>Лични данни с висок риск;</w:t>
            </w:r>
          </w:p>
          <w:p w14:paraId="28A64016" w14:textId="77777777" w:rsidR="00684221" w:rsidRPr="006F3622" w:rsidRDefault="003F1832" w:rsidP="00684221">
            <w:pPr>
              <w:tabs>
                <w:tab w:val="left" w:pos="1348"/>
              </w:tabs>
              <w:spacing w:line="259" w:lineRule="auto"/>
              <w:jc w:val="both"/>
              <w:rPr>
                <w:sz w:val="22"/>
              </w:rPr>
            </w:pPr>
            <w:r w:rsidRPr="006F3622">
              <w:rPr>
                <w:sz w:val="22"/>
              </w:rPr>
              <w:t>(специални лични данни, като напр. финансова, имуществена информация)</w:t>
            </w:r>
          </w:p>
          <w:p w14:paraId="74F08915" w14:textId="002124FB" w:rsidR="003F1832" w:rsidRPr="006F3622" w:rsidRDefault="004C57BC" w:rsidP="0081691B">
            <w:pPr>
              <w:numPr>
                <w:ilvl w:val="0"/>
                <w:numId w:val="11"/>
              </w:numPr>
              <w:tabs>
                <w:tab w:val="left" w:pos="313"/>
              </w:tabs>
              <w:ind w:left="29" w:hanging="29"/>
              <w:jc w:val="both"/>
              <w:rPr>
                <w:sz w:val="22"/>
              </w:rPr>
            </w:pPr>
            <w:r w:rsidRPr="006F3622">
              <w:rPr>
                <w:sz w:val="22"/>
              </w:rPr>
              <w:t>Утежняващ фактор</w:t>
            </w:r>
            <w:r w:rsidR="003F1832" w:rsidRPr="006F3622">
              <w:rPr>
                <w:sz w:val="22"/>
              </w:rPr>
              <w:t xml:space="preserve"> за лични</w:t>
            </w:r>
            <w:r w:rsidR="0081691B" w:rsidRPr="006F3622">
              <w:rPr>
                <w:sz w:val="22"/>
              </w:rPr>
              <w:t>те</w:t>
            </w:r>
            <w:r w:rsidR="003F1832" w:rsidRPr="006F3622">
              <w:rPr>
                <w:sz w:val="22"/>
              </w:rPr>
              <w:t xml:space="preserve"> данни от предходното ниво</w:t>
            </w:r>
            <w:r w:rsidR="003804C2" w:rsidRPr="006F3622">
              <w:rPr>
                <w:sz w:val="22"/>
              </w:rPr>
              <w:t xml:space="preserve"> на осигуреност</w:t>
            </w:r>
            <w:r w:rsidR="00B860A1" w:rsidRPr="006F3622">
              <w:rPr>
                <w:sz w:val="22"/>
              </w:rPr>
              <w:t>, свързан</w:t>
            </w:r>
            <w:r w:rsidR="003F1832" w:rsidRPr="006F3622">
              <w:rPr>
                <w:sz w:val="22"/>
              </w:rPr>
              <w:t xml:space="preserve"> с естеството</w:t>
            </w:r>
            <w:r w:rsidR="003804C2" w:rsidRPr="006F3622">
              <w:rPr>
                <w:sz w:val="22"/>
              </w:rPr>
              <w:t xml:space="preserve"> на обработка</w:t>
            </w:r>
            <w:r w:rsidR="00B860A1" w:rsidRPr="006F3622">
              <w:rPr>
                <w:sz w:val="22"/>
              </w:rPr>
              <w:t>та им</w:t>
            </w:r>
            <w:r w:rsidR="003F1832" w:rsidRPr="006F3622">
              <w:rPr>
                <w:sz w:val="22"/>
              </w:rPr>
              <w:t>;</w:t>
            </w:r>
          </w:p>
          <w:p w14:paraId="17553C35" w14:textId="00BF7751" w:rsidR="003F1832" w:rsidRPr="006F3622" w:rsidRDefault="003F1832" w:rsidP="00895722">
            <w:pPr>
              <w:tabs>
                <w:tab w:val="left" w:pos="1348"/>
              </w:tabs>
              <w:spacing w:line="259" w:lineRule="auto"/>
              <w:jc w:val="both"/>
              <w:rPr>
                <w:sz w:val="22"/>
              </w:rPr>
            </w:pPr>
            <w:r w:rsidRPr="006F3622">
              <w:rPr>
                <w:sz w:val="22"/>
              </w:rPr>
              <w:t xml:space="preserve">(напр. обработка на голям обем лични данни - медицинско досие; </w:t>
            </w:r>
            <w:r w:rsidR="00A74E2E" w:rsidRPr="006F3622">
              <w:rPr>
                <w:sz w:val="22"/>
              </w:rPr>
              <w:t xml:space="preserve">когато </w:t>
            </w:r>
            <w:r w:rsidRPr="006F3622">
              <w:rPr>
                <w:sz w:val="22"/>
              </w:rPr>
              <w:t>информаци</w:t>
            </w:r>
            <w:r w:rsidR="00A74E2E" w:rsidRPr="006F3622">
              <w:rPr>
                <w:sz w:val="22"/>
              </w:rPr>
              <w:t xml:space="preserve">ята благоприятства злоупотреба - </w:t>
            </w:r>
            <w:r w:rsidRPr="006F3622">
              <w:rPr>
                <w:sz w:val="22"/>
              </w:rPr>
              <w:t>кражба на идентичност; обработката е с цел издаване на широкообхватно решение, което повишава риска от загуба, злоупотреба с данни)</w:t>
            </w:r>
          </w:p>
          <w:p w14:paraId="3BF38902" w14:textId="058622B3" w:rsidR="003F1832" w:rsidRPr="006F3622" w:rsidRDefault="003F1832" w:rsidP="00895722">
            <w:pPr>
              <w:numPr>
                <w:ilvl w:val="0"/>
                <w:numId w:val="11"/>
              </w:numPr>
              <w:tabs>
                <w:tab w:val="left" w:pos="1348"/>
              </w:tabs>
              <w:spacing w:line="259" w:lineRule="auto"/>
              <w:jc w:val="both"/>
              <w:rPr>
                <w:sz w:val="22"/>
              </w:rPr>
            </w:pPr>
            <w:r w:rsidRPr="006F3622">
              <w:rPr>
                <w:sz w:val="22"/>
              </w:rPr>
              <w:t>ЕГН се обработва заедно с допълнителни лични данни;</w:t>
            </w:r>
          </w:p>
          <w:p w14:paraId="08DBF4B6" w14:textId="05EDEF1E" w:rsidR="003F1832" w:rsidRPr="006F3622" w:rsidRDefault="003F1832" w:rsidP="00895722">
            <w:pPr>
              <w:numPr>
                <w:ilvl w:val="0"/>
                <w:numId w:val="11"/>
              </w:numPr>
              <w:tabs>
                <w:tab w:val="left" w:pos="1348"/>
              </w:tabs>
              <w:spacing w:line="259" w:lineRule="auto"/>
              <w:jc w:val="both"/>
              <w:rPr>
                <w:sz w:val="22"/>
              </w:rPr>
            </w:pPr>
            <w:r w:rsidRPr="006F3622">
              <w:rPr>
                <w:sz w:val="22"/>
              </w:rPr>
              <w:t>Директни правни последици;</w:t>
            </w:r>
          </w:p>
          <w:p w14:paraId="79479B91" w14:textId="552C1EFE" w:rsidR="003F1832" w:rsidRPr="006F3622" w:rsidRDefault="003F1832" w:rsidP="0081691B">
            <w:pPr>
              <w:numPr>
                <w:ilvl w:val="0"/>
                <w:numId w:val="11"/>
              </w:numPr>
              <w:tabs>
                <w:tab w:val="left" w:pos="313"/>
              </w:tabs>
              <w:ind w:left="29" w:hanging="29"/>
              <w:jc w:val="both"/>
              <w:rPr>
                <w:sz w:val="22"/>
              </w:rPr>
            </w:pPr>
            <w:r w:rsidRPr="006F3622">
              <w:rPr>
                <w:sz w:val="22"/>
              </w:rPr>
              <w:t>Предоставят се или се изменят данни от ключови регистри, които не попадат в категорията „високо" ниво на осигуреност;</w:t>
            </w:r>
          </w:p>
          <w:p w14:paraId="4B280562" w14:textId="213AB7D7" w:rsidR="003F1832" w:rsidRPr="006F3622" w:rsidRDefault="003F1832" w:rsidP="00895722">
            <w:pPr>
              <w:numPr>
                <w:ilvl w:val="0"/>
                <w:numId w:val="11"/>
              </w:numPr>
              <w:tabs>
                <w:tab w:val="left" w:pos="1348"/>
              </w:tabs>
              <w:spacing w:line="259" w:lineRule="auto"/>
              <w:jc w:val="both"/>
              <w:rPr>
                <w:sz w:val="22"/>
              </w:rPr>
            </w:pPr>
            <w:r w:rsidRPr="006F3622">
              <w:rPr>
                <w:sz w:val="22"/>
              </w:rPr>
              <w:t>Умерен икономически интерес;</w:t>
            </w:r>
          </w:p>
          <w:p w14:paraId="12B2D2B5" w14:textId="64AB7DA8" w:rsidR="002A5D2F" w:rsidRPr="006F3622" w:rsidRDefault="003F1832" w:rsidP="00895722">
            <w:pPr>
              <w:numPr>
                <w:ilvl w:val="0"/>
                <w:numId w:val="11"/>
              </w:numPr>
              <w:tabs>
                <w:tab w:val="left" w:pos="1348"/>
              </w:tabs>
              <w:spacing w:line="259" w:lineRule="auto"/>
              <w:jc w:val="both"/>
              <w:rPr>
                <w:sz w:val="22"/>
              </w:rPr>
            </w:pPr>
            <w:r w:rsidRPr="006F3622">
              <w:rPr>
                <w:sz w:val="22"/>
              </w:rPr>
              <w:t>Умерен публичен интерес;</w:t>
            </w:r>
          </w:p>
        </w:tc>
        <w:tc>
          <w:tcPr>
            <w:tcW w:w="2552" w:type="dxa"/>
          </w:tcPr>
          <w:p w14:paraId="714A376A" w14:textId="1A6353FB" w:rsidR="002A5D2F" w:rsidRPr="006F3622" w:rsidRDefault="003F1832" w:rsidP="00895722">
            <w:pPr>
              <w:tabs>
                <w:tab w:val="left" w:pos="1348"/>
              </w:tabs>
              <w:spacing w:line="259" w:lineRule="auto"/>
              <w:rPr>
                <w:sz w:val="22"/>
              </w:rPr>
            </w:pPr>
            <w:r w:rsidRPr="006F3622">
              <w:rPr>
                <w:sz w:val="22"/>
              </w:rPr>
              <w:t>значително</w:t>
            </w:r>
          </w:p>
        </w:tc>
      </w:tr>
      <w:tr w:rsidR="002A5D2F" w:rsidRPr="006F3622" w14:paraId="00322548" w14:textId="77777777" w:rsidTr="00805926">
        <w:tc>
          <w:tcPr>
            <w:tcW w:w="6941" w:type="dxa"/>
          </w:tcPr>
          <w:p w14:paraId="0B6F6D7B" w14:textId="25F70D39" w:rsidR="003F1832" w:rsidRPr="006F3622" w:rsidRDefault="003F1832" w:rsidP="00895722">
            <w:pPr>
              <w:numPr>
                <w:ilvl w:val="0"/>
                <w:numId w:val="11"/>
              </w:numPr>
              <w:tabs>
                <w:tab w:val="left" w:pos="1348"/>
              </w:tabs>
              <w:spacing w:line="259" w:lineRule="auto"/>
              <w:jc w:val="both"/>
              <w:rPr>
                <w:sz w:val="22"/>
              </w:rPr>
            </w:pPr>
            <w:r w:rsidRPr="006F3622">
              <w:rPr>
                <w:sz w:val="22"/>
              </w:rPr>
              <w:t>Лични данни с най-висок риск;</w:t>
            </w:r>
          </w:p>
          <w:p w14:paraId="75B8394B" w14:textId="4CC7B850" w:rsidR="003F1832" w:rsidRPr="006F3622" w:rsidRDefault="003F1832" w:rsidP="00895722">
            <w:pPr>
              <w:tabs>
                <w:tab w:val="left" w:pos="1348"/>
              </w:tabs>
              <w:spacing w:line="259" w:lineRule="auto"/>
              <w:jc w:val="both"/>
              <w:rPr>
                <w:sz w:val="22"/>
              </w:rPr>
            </w:pPr>
            <w:r w:rsidRPr="006F3622">
              <w:rPr>
                <w:sz w:val="22"/>
              </w:rPr>
              <w:t>(информация от органите на наказателно преследване, от ДНК бази данни, информация, която е обект на специална, законова закрила, данни, които са обект на професионална тайна, като медицинска, здравна информация за пациент)</w:t>
            </w:r>
          </w:p>
          <w:p w14:paraId="377AE051" w14:textId="3A94C96D" w:rsidR="003F1832" w:rsidRPr="006F3622" w:rsidRDefault="004C57BC" w:rsidP="006E3599">
            <w:pPr>
              <w:numPr>
                <w:ilvl w:val="0"/>
                <w:numId w:val="11"/>
              </w:numPr>
              <w:tabs>
                <w:tab w:val="left" w:pos="313"/>
              </w:tabs>
              <w:ind w:left="29" w:hanging="29"/>
              <w:jc w:val="both"/>
              <w:rPr>
                <w:sz w:val="22"/>
              </w:rPr>
            </w:pPr>
            <w:r w:rsidRPr="006F3622">
              <w:rPr>
                <w:sz w:val="22"/>
              </w:rPr>
              <w:t>Утежняващ</w:t>
            </w:r>
            <w:r w:rsidR="003F1832" w:rsidRPr="006F3622">
              <w:rPr>
                <w:sz w:val="22"/>
              </w:rPr>
              <w:t xml:space="preserve"> фактор за лични</w:t>
            </w:r>
            <w:r w:rsidR="006E3599" w:rsidRPr="006F3622">
              <w:rPr>
                <w:sz w:val="22"/>
              </w:rPr>
              <w:t>те</w:t>
            </w:r>
            <w:r w:rsidR="003F1832" w:rsidRPr="006F3622">
              <w:rPr>
                <w:sz w:val="22"/>
              </w:rPr>
              <w:t xml:space="preserve"> дан</w:t>
            </w:r>
            <w:r w:rsidRPr="006F3622">
              <w:rPr>
                <w:sz w:val="22"/>
              </w:rPr>
              <w:t>ни от предходното ниво, свързан</w:t>
            </w:r>
            <w:r w:rsidR="003F1832" w:rsidRPr="006F3622">
              <w:rPr>
                <w:sz w:val="22"/>
              </w:rPr>
              <w:t xml:space="preserve"> с естеството на обработка</w:t>
            </w:r>
            <w:r w:rsidRPr="006F3622">
              <w:rPr>
                <w:sz w:val="22"/>
              </w:rPr>
              <w:t>та им</w:t>
            </w:r>
            <w:r w:rsidR="003F1832" w:rsidRPr="006F3622">
              <w:rPr>
                <w:sz w:val="22"/>
              </w:rPr>
              <w:t>;</w:t>
            </w:r>
          </w:p>
          <w:p w14:paraId="7FFC56D1" w14:textId="0171A227" w:rsidR="003F1832" w:rsidRPr="006F3622" w:rsidRDefault="003F1832" w:rsidP="00895722">
            <w:pPr>
              <w:numPr>
                <w:ilvl w:val="0"/>
                <w:numId w:val="11"/>
              </w:numPr>
              <w:tabs>
                <w:tab w:val="left" w:pos="1348"/>
              </w:tabs>
              <w:spacing w:line="259" w:lineRule="auto"/>
              <w:jc w:val="both"/>
              <w:rPr>
                <w:sz w:val="22"/>
              </w:rPr>
            </w:pPr>
            <w:r w:rsidRPr="006F3622">
              <w:rPr>
                <w:sz w:val="22"/>
              </w:rPr>
              <w:t>ЕГН се обработва заедно с допълнителни лични данни;</w:t>
            </w:r>
          </w:p>
          <w:p w14:paraId="0E9B9680" w14:textId="7F666783" w:rsidR="003F1832" w:rsidRPr="006F3622" w:rsidRDefault="003F1832" w:rsidP="006E3599">
            <w:pPr>
              <w:numPr>
                <w:ilvl w:val="0"/>
                <w:numId w:val="11"/>
              </w:numPr>
              <w:tabs>
                <w:tab w:val="left" w:pos="313"/>
              </w:tabs>
              <w:ind w:left="29" w:hanging="29"/>
              <w:jc w:val="both"/>
              <w:rPr>
                <w:sz w:val="22"/>
              </w:rPr>
            </w:pPr>
            <w:r w:rsidRPr="006F3622">
              <w:rPr>
                <w:sz w:val="22"/>
              </w:rPr>
              <w:t>Създаване, изменение или унищожаване на данни от ключови регистри;</w:t>
            </w:r>
          </w:p>
          <w:p w14:paraId="01E968AC" w14:textId="169E1962" w:rsidR="003F1832" w:rsidRPr="006F3622" w:rsidRDefault="003F1832" w:rsidP="00895722">
            <w:pPr>
              <w:numPr>
                <w:ilvl w:val="0"/>
                <w:numId w:val="11"/>
              </w:numPr>
              <w:tabs>
                <w:tab w:val="left" w:pos="1348"/>
              </w:tabs>
              <w:spacing w:line="259" w:lineRule="auto"/>
              <w:jc w:val="both"/>
              <w:rPr>
                <w:sz w:val="22"/>
              </w:rPr>
            </w:pPr>
            <w:r w:rsidRPr="006F3622">
              <w:rPr>
                <w:sz w:val="22"/>
              </w:rPr>
              <w:t>Значителен икономически интерес;</w:t>
            </w:r>
          </w:p>
          <w:p w14:paraId="03C0A007" w14:textId="2B33B215" w:rsidR="002A5D2F" w:rsidRPr="006F3622" w:rsidRDefault="003F1832" w:rsidP="00895722">
            <w:pPr>
              <w:numPr>
                <w:ilvl w:val="0"/>
                <w:numId w:val="11"/>
              </w:numPr>
              <w:tabs>
                <w:tab w:val="left" w:pos="1348"/>
              </w:tabs>
              <w:spacing w:line="259" w:lineRule="auto"/>
              <w:jc w:val="both"/>
              <w:rPr>
                <w:sz w:val="22"/>
              </w:rPr>
            </w:pPr>
            <w:r w:rsidRPr="006F3622">
              <w:rPr>
                <w:sz w:val="22"/>
              </w:rPr>
              <w:t>Значителен публичен интерес.</w:t>
            </w:r>
          </w:p>
        </w:tc>
        <w:tc>
          <w:tcPr>
            <w:tcW w:w="2552" w:type="dxa"/>
          </w:tcPr>
          <w:p w14:paraId="0FC7D48F" w14:textId="0A067F31" w:rsidR="002A5D2F" w:rsidRPr="006F3622" w:rsidRDefault="003F1832" w:rsidP="00895722">
            <w:pPr>
              <w:tabs>
                <w:tab w:val="left" w:pos="1348"/>
              </w:tabs>
              <w:spacing w:line="259" w:lineRule="auto"/>
              <w:rPr>
                <w:sz w:val="22"/>
              </w:rPr>
            </w:pPr>
            <w:r w:rsidRPr="006F3622">
              <w:rPr>
                <w:sz w:val="22"/>
              </w:rPr>
              <w:t>високо</w:t>
            </w:r>
          </w:p>
        </w:tc>
      </w:tr>
    </w:tbl>
    <w:p w14:paraId="3E171D95" w14:textId="77777777" w:rsidR="002A5D2F" w:rsidRPr="006F3622" w:rsidRDefault="002A5D2F" w:rsidP="00895722">
      <w:pPr>
        <w:tabs>
          <w:tab w:val="left" w:pos="1348"/>
        </w:tabs>
        <w:spacing w:after="0"/>
      </w:pPr>
    </w:p>
    <w:p w14:paraId="78B4971D" w14:textId="77777777" w:rsidR="00D60C33" w:rsidRPr="006F3622" w:rsidRDefault="00D60C33" w:rsidP="00D60C33">
      <w:pPr>
        <w:spacing w:after="0" w:line="240" w:lineRule="auto"/>
        <w:ind w:left="7080"/>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lastRenderedPageBreak/>
        <w:t>Приложение № 2</w:t>
      </w:r>
    </w:p>
    <w:p w14:paraId="43162B32" w14:textId="77777777" w:rsidR="00D60C33" w:rsidRPr="006F3622" w:rsidRDefault="00D60C33" w:rsidP="00D60C33">
      <w:pPr>
        <w:spacing w:after="0" w:line="240" w:lineRule="auto"/>
        <w:textAlignment w:val="top"/>
        <w:rPr>
          <w:rFonts w:ascii="Arial" w:eastAsia="MS PGothic" w:hAnsi="Arial" w:cs="Arial"/>
          <w:b/>
          <w:bCs/>
          <w:color w:val="000000"/>
          <w:spacing w:val="1"/>
          <w:sz w:val="22"/>
          <w:lang w:eastAsia="ja-JP"/>
        </w:rPr>
      </w:pPr>
    </w:p>
    <w:p w14:paraId="4483FA26" w14:textId="77777777" w:rsidR="00D60C33" w:rsidRPr="006F3622" w:rsidRDefault="00D60C33" w:rsidP="006631E8">
      <w:pPr>
        <w:spacing w:after="0" w:line="240" w:lineRule="auto"/>
        <w:jc w:val="center"/>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t>Примерен пълен анализ на риска</w:t>
      </w:r>
    </w:p>
    <w:p w14:paraId="4B7C5AE3" w14:textId="77777777" w:rsidR="00C05026" w:rsidRPr="006F3622" w:rsidRDefault="00C05026" w:rsidP="00D60C33">
      <w:pPr>
        <w:spacing w:after="0" w:line="240" w:lineRule="auto"/>
        <w:textAlignment w:val="top"/>
        <w:rPr>
          <w:rFonts w:eastAsia="MS PGothic" w:cs="Times New Roman"/>
          <w:b/>
          <w:bCs/>
          <w:color w:val="000000"/>
          <w:spacing w:val="1"/>
          <w:szCs w:val="24"/>
          <w:lang w:eastAsia="ja-JP"/>
        </w:rPr>
      </w:pPr>
    </w:p>
    <w:p w14:paraId="75199910" w14:textId="77777777" w:rsidR="00D60C33" w:rsidRPr="006F3622" w:rsidRDefault="00D60C33" w:rsidP="00D60C33">
      <w:pPr>
        <w:spacing w:after="0" w:line="240" w:lineRule="auto"/>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t>Етапи на анализ и оценка на риска:</w:t>
      </w:r>
    </w:p>
    <w:p w14:paraId="38A08662" w14:textId="77777777" w:rsidR="00B85D03" w:rsidRPr="006F3622" w:rsidRDefault="00D60C33" w:rsidP="00B85D03">
      <w:pPr>
        <w:pStyle w:val="ListParagraph"/>
        <w:numPr>
          <w:ilvl w:val="0"/>
          <w:numId w:val="22"/>
        </w:numPr>
        <w:tabs>
          <w:tab w:val="left" w:pos="851"/>
        </w:tabs>
        <w:ind w:left="142" w:firstLine="502"/>
        <w:jc w:val="both"/>
        <w:rPr>
          <w:rFonts w:eastAsia="Times New Roman" w:cs="Times New Roman"/>
          <w:color w:val="000000"/>
          <w:spacing w:val="1"/>
          <w:szCs w:val="24"/>
        </w:rPr>
      </w:pPr>
      <w:r w:rsidRPr="006F3622">
        <w:rPr>
          <w:rFonts w:eastAsia="Times New Roman" w:cs="Times New Roman"/>
          <w:color w:val="000000"/>
          <w:spacing w:val="1"/>
          <w:szCs w:val="24"/>
        </w:rPr>
        <w:t>Да се идентифицират и анализират всички потенциални нежелани събития, наричани за краткост "заплахи", които биха довели до загуба на конфиденциалност, интегритет и достъпност на електронните услуги и/или информацията в тях;</w:t>
      </w:r>
    </w:p>
    <w:p w14:paraId="5068F722" w14:textId="77777777" w:rsidR="00B85D03" w:rsidRPr="006F3622" w:rsidRDefault="00D60C33" w:rsidP="00B85D03">
      <w:pPr>
        <w:pStyle w:val="ListParagraph"/>
        <w:numPr>
          <w:ilvl w:val="0"/>
          <w:numId w:val="22"/>
        </w:numPr>
        <w:tabs>
          <w:tab w:val="left" w:pos="851"/>
        </w:tabs>
        <w:ind w:left="142" w:firstLine="502"/>
        <w:jc w:val="both"/>
        <w:rPr>
          <w:rFonts w:eastAsia="Times New Roman" w:cs="Times New Roman"/>
          <w:color w:val="000000"/>
          <w:spacing w:val="1"/>
          <w:szCs w:val="24"/>
        </w:rPr>
      </w:pPr>
      <w:r w:rsidRPr="006F3622">
        <w:rPr>
          <w:rFonts w:eastAsia="Times New Roman" w:cs="Times New Roman"/>
          <w:color w:val="000000"/>
          <w:spacing w:val="1"/>
          <w:szCs w:val="24"/>
        </w:rPr>
        <w:t>Да се оцени вероятността от настъпване на тези събития, като се вземат предвид слабостите (уязвимости) на информационните активи и мерките, които са предприети за справяне с тях;</w:t>
      </w:r>
    </w:p>
    <w:p w14:paraId="20EE288E" w14:textId="0DEE5CF1" w:rsidR="00D60C33" w:rsidRPr="006F3622" w:rsidRDefault="00D60C33" w:rsidP="00B85D03">
      <w:pPr>
        <w:pStyle w:val="ListParagraph"/>
        <w:numPr>
          <w:ilvl w:val="0"/>
          <w:numId w:val="22"/>
        </w:numPr>
        <w:tabs>
          <w:tab w:val="left" w:pos="851"/>
        </w:tabs>
        <w:ind w:left="142" w:firstLine="502"/>
        <w:jc w:val="both"/>
        <w:rPr>
          <w:rFonts w:eastAsia="Times New Roman" w:cs="Times New Roman"/>
          <w:color w:val="000000"/>
          <w:spacing w:val="1"/>
          <w:szCs w:val="24"/>
        </w:rPr>
      </w:pPr>
      <w:r w:rsidRPr="006F3622">
        <w:rPr>
          <w:rFonts w:eastAsia="Times New Roman" w:cs="Times New Roman"/>
          <w:color w:val="000000"/>
          <w:spacing w:val="1"/>
          <w:szCs w:val="24"/>
        </w:rPr>
        <w:t>Да се оцени въздействието (загуби на ресурси (време, хора и пари), неспазване на нормативни и регулаторни изисквания, накърняване на имидж, и др.) от евентуално настъпване на тези нежелани събития въпреки предприетите мерки.</w:t>
      </w:r>
    </w:p>
    <w:p w14:paraId="6B96A680" w14:textId="77777777" w:rsidR="00D60C33" w:rsidRPr="006F3622" w:rsidRDefault="00D60C33" w:rsidP="00D60C33">
      <w:pPr>
        <w:spacing w:after="0" w:line="240" w:lineRule="auto"/>
        <w:jc w:val="both"/>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t>Оценка на въздействието</w:t>
      </w:r>
    </w:p>
    <w:p w14:paraId="4C1E8FB8" w14:textId="77777777" w:rsidR="00C05026" w:rsidRPr="006F3622" w:rsidRDefault="00C05026" w:rsidP="00D60C33">
      <w:pPr>
        <w:spacing w:after="0" w:line="240" w:lineRule="auto"/>
        <w:jc w:val="both"/>
        <w:textAlignment w:val="top"/>
        <w:rPr>
          <w:rFonts w:eastAsia="MS PGothic" w:cs="Times New Roman"/>
          <w:color w:val="333333"/>
          <w:szCs w:val="24"/>
          <w:lang w:eastAsia="ja-JP"/>
        </w:rPr>
      </w:pPr>
    </w:p>
    <w:p w14:paraId="64B55AB1" w14:textId="752CC2B0" w:rsidR="00D60C33" w:rsidRPr="006F3622" w:rsidRDefault="00D60C33" w:rsidP="00D60C33">
      <w:pPr>
        <w:spacing w:after="0" w:line="240" w:lineRule="auto"/>
        <w:jc w:val="both"/>
        <w:textAlignment w:val="top"/>
        <w:rPr>
          <w:rFonts w:eastAsia="MS PGothic" w:cs="Times New Roman"/>
          <w:b/>
          <w:bCs/>
          <w:color w:val="000000"/>
          <w:spacing w:val="1"/>
          <w:szCs w:val="24"/>
          <w:lang w:eastAsia="ja-JP"/>
        </w:rPr>
      </w:pPr>
      <w:r w:rsidRPr="006F3622">
        <w:rPr>
          <w:rFonts w:eastAsia="MS PGothic" w:cs="Times New Roman"/>
          <w:color w:val="000000"/>
          <w:spacing w:val="1"/>
          <w:szCs w:val="24"/>
          <w:lang w:eastAsia="ja-JP"/>
        </w:rPr>
        <w:t>За всяка заплаха се оценява нейното въздействие - щетите (материални и нематериални), които дадена заплаха може да причини, ако се реализира.</w:t>
      </w:r>
      <w:r w:rsidR="00F92E84" w:rsidRPr="00F92E84">
        <w:rPr>
          <w:rFonts w:cs="Times New Roman"/>
          <w:szCs w:val="24"/>
          <w:lang w:eastAsia="bg-BG"/>
        </w:rPr>
        <w:t xml:space="preserve"> За оценка на въздействието се използва петстепенна скала от 1 до 5, като при 1 щетите са незначителни, а при 5 са най-големи: т. е</w:t>
      </w:r>
      <w:r w:rsidR="00F92E84">
        <w:rPr>
          <w:rFonts w:cs="Times New Roman"/>
          <w:szCs w:val="24"/>
          <w:lang w:eastAsia="bg-BG"/>
        </w:rPr>
        <w:t>.</w:t>
      </w:r>
      <w:r w:rsidR="00F92E84" w:rsidRPr="00F92E84">
        <w:rPr>
          <w:rFonts w:cs="Times New Roman"/>
          <w:szCs w:val="24"/>
          <w:lang w:eastAsia="bg-BG"/>
        </w:rPr>
        <w:t xml:space="preserve"> 1- незначителни, 2- значителни, 3-</w:t>
      </w:r>
      <w:r w:rsidR="00513F24">
        <w:rPr>
          <w:rFonts w:cs="Times New Roman"/>
          <w:szCs w:val="24"/>
          <w:lang w:eastAsia="bg-BG"/>
        </w:rPr>
        <w:t xml:space="preserve"> големи, 4- по-големи и 5- най-</w:t>
      </w:r>
      <w:r w:rsidR="00F92E84" w:rsidRPr="00F92E84">
        <w:rPr>
          <w:rFonts w:cs="Times New Roman"/>
          <w:szCs w:val="24"/>
          <w:lang w:eastAsia="bg-BG"/>
        </w:rPr>
        <w:t>големи</w:t>
      </w:r>
      <w:r w:rsidR="00F92E84">
        <w:rPr>
          <w:rFonts w:cs="Times New Roman"/>
          <w:szCs w:val="24"/>
          <w:lang w:eastAsia="bg-BG"/>
        </w:rPr>
        <w:t>.</w:t>
      </w:r>
    </w:p>
    <w:p w14:paraId="220A2213" w14:textId="77777777" w:rsidR="00A67787" w:rsidRDefault="00A67787" w:rsidP="00D60C33">
      <w:pPr>
        <w:spacing w:after="0" w:line="240" w:lineRule="auto"/>
        <w:jc w:val="both"/>
        <w:textAlignment w:val="top"/>
        <w:rPr>
          <w:rFonts w:eastAsia="MS PGothic" w:cs="Times New Roman"/>
          <w:b/>
          <w:bCs/>
          <w:color w:val="000000"/>
          <w:spacing w:val="1"/>
          <w:szCs w:val="24"/>
          <w:lang w:eastAsia="ja-JP"/>
        </w:rPr>
      </w:pPr>
    </w:p>
    <w:p w14:paraId="1C651630" w14:textId="77777777" w:rsidR="00D60C33" w:rsidRPr="006F3622" w:rsidRDefault="00D60C33" w:rsidP="00D60C33">
      <w:pPr>
        <w:spacing w:after="0" w:line="240" w:lineRule="auto"/>
        <w:jc w:val="both"/>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t>Оценка на вероятността</w:t>
      </w:r>
    </w:p>
    <w:p w14:paraId="75C2C578" w14:textId="77777777" w:rsidR="00C05026" w:rsidRPr="006F3622" w:rsidRDefault="00C05026" w:rsidP="00D60C33">
      <w:pPr>
        <w:spacing w:after="0" w:line="240" w:lineRule="auto"/>
        <w:jc w:val="both"/>
        <w:textAlignment w:val="top"/>
        <w:rPr>
          <w:rFonts w:eastAsia="MS PGothic" w:cs="Times New Roman"/>
          <w:color w:val="333333"/>
          <w:szCs w:val="24"/>
          <w:lang w:eastAsia="ja-JP"/>
        </w:rPr>
      </w:pPr>
    </w:p>
    <w:p w14:paraId="6D10F9C4" w14:textId="77777777" w:rsidR="00D60C33" w:rsidRPr="006F3622" w:rsidRDefault="00D60C33" w:rsidP="00D60C33">
      <w:pPr>
        <w:spacing w:after="0" w:line="240" w:lineRule="auto"/>
        <w:jc w:val="both"/>
        <w:textAlignment w:val="top"/>
        <w:rPr>
          <w:rFonts w:eastAsia="MS PGothic" w:cs="Times New Roman"/>
          <w:color w:val="333333"/>
          <w:szCs w:val="24"/>
          <w:lang w:eastAsia="ja-JP"/>
        </w:rPr>
      </w:pPr>
      <w:r w:rsidRPr="006F3622">
        <w:rPr>
          <w:rFonts w:eastAsia="MS PGothic" w:cs="Times New Roman"/>
          <w:color w:val="000000"/>
          <w:spacing w:val="1"/>
          <w:szCs w:val="24"/>
          <w:lang w:eastAsia="ja-JP"/>
        </w:rPr>
        <w:t xml:space="preserve">Определя се вероятността за възникване на дадена заплаха, като се вземат предвид предприетите вече мерки. Колкото повече са предприетите защитни мерки, толкова по-ниска е вероятността от възникване на заплахата. </w:t>
      </w:r>
    </w:p>
    <w:p w14:paraId="3F4AB53C" w14:textId="3CC4D51C" w:rsidR="00D60C33" w:rsidRDefault="00D60C33" w:rsidP="00D60C33">
      <w:pPr>
        <w:spacing w:after="0" w:line="240" w:lineRule="auto"/>
        <w:jc w:val="both"/>
        <w:textAlignment w:val="top"/>
        <w:rPr>
          <w:rFonts w:eastAsia="MS PGothic" w:cs="Times New Roman"/>
          <w:color w:val="000000"/>
          <w:spacing w:val="1"/>
          <w:szCs w:val="24"/>
          <w:lang w:eastAsia="ja-JP"/>
        </w:rPr>
      </w:pPr>
      <w:r w:rsidRPr="006F3622">
        <w:rPr>
          <w:rFonts w:eastAsia="MS PGothic" w:cs="Times New Roman"/>
          <w:color w:val="000000"/>
          <w:spacing w:val="1"/>
          <w:szCs w:val="24"/>
          <w:lang w:eastAsia="ja-JP"/>
        </w:rPr>
        <w:t xml:space="preserve">За оценка на </w:t>
      </w:r>
      <w:r w:rsidR="00A623D7">
        <w:rPr>
          <w:rFonts w:eastAsia="MS PGothic" w:cs="Times New Roman"/>
          <w:color w:val="000000"/>
          <w:spacing w:val="1"/>
          <w:szCs w:val="24"/>
          <w:lang w:eastAsia="ja-JP"/>
        </w:rPr>
        <w:t>вероятността</w:t>
      </w:r>
      <w:r w:rsidRPr="006F3622">
        <w:rPr>
          <w:rFonts w:eastAsia="MS PGothic" w:cs="Times New Roman"/>
          <w:color w:val="000000"/>
          <w:spacing w:val="1"/>
          <w:szCs w:val="24"/>
          <w:lang w:eastAsia="ja-JP"/>
        </w:rPr>
        <w:t xml:space="preserve"> се използва петстепенна скала от 1 до 5 и като се има предвид определен период, например една година:</w:t>
      </w:r>
    </w:p>
    <w:p w14:paraId="3017A154" w14:textId="77777777" w:rsidR="00D60C33" w:rsidRPr="006F3622" w:rsidRDefault="00D60C33" w:rsidP="00D60C33">
      <w:pPr>
        <w:spacing w:after="0" w:line="240" w:lineRule="auto"/>
        <w:textAlignment w:val="top"/>
        <w:rPr>
          <w:rFonts w:eastAsia="MS PGothic" w:cs="Times New Roman"/>
          <w:color w:val="333333"/>
          <w:szCs w:val="24"/>
          <w:lang w:eastAsia="ja-JP"/>
        </w:rPr>
      </w:pPr>
      <w:r w:rsidRPr="006F3622">
        <w:rPr>
          <w:rFonts w:eastAsia="MS PGothic" w:cs="Times New Roman"/>
          <w:b/>
          <w:bCs/>
          <w:color w:val="000000"/>
          <w:spacing w:val="1"/>
          <w:szCs w:val="24"/>
          <w:lang w:eastAsia="ja-JP"/>
        </w:rPr>
        <w:t>1</w:t>
      </w:r>
      <w:r w:rsidRPr="006F3622">
        <w:rPr>
          <w:rFonts w:eastAsia="MS PGothic" w:cs="Times New Roman"/>
          <w:color w:val="333333"/>
          <w:szCs w:val="24"/>
          <w:lang w:eastAsia="ja-JP"/>
        </w:rPr>
        <w:t xml:space="preserve"> </w:t>
      </w:r>
      <w:r w:rsidRPr="006F3622">
        <w:rPr>
          <w:rFonts w:eastAsia="MS PGothic" w:cs="Times New Roman"/>
          <w:color w:val="000000"/>
          <w:spacing w:val="1"/>
          <w:szCs w:val="24"/>
          <w:lang w:eastAsia="ja-JP"/>
        </w:rPr>
        <w:t>- вероятността от реализирането на заплахата е под 10 %;</w:t>
      </w:r>
    </w:p>
    <w:p w14:paraId="1594E7E3" w14:textId="77777777" w:rsidR="00D60C33" w:rsidRPr="006F3622" w:rsidRDefault="00D60C33" w:rsidP="00D60C33">
      <w:pPr>
        <w:spacing w:after="0" w:line="240" w:lineRule="auto"/>
        <w:textAlignment w:val="top"/>
        <w:rPr>
          <w:rFonts w:eastAsia="MS PGothic" w:cs="Times New Roman"/>
          <w:color w:val="333333"/>
          <w:szCs w:val="24"/>
          <w:lang w:eastAsia="ja-JP"/>
        </w:rPr>
      </w:pPr>
      <w:r w:rsidRPr="006F3622">
        <w:rPr>
          <w:rFonts w:eastAsia="MS PGothic" w:cs="Times New Roman"/>
          <w:b/>
          <w:bCs/>
          <w:color w:val="000000"/>
          <w:spacing w:val="1"/>
          <w:szCs w:val="24"/>
          <w:lang w:eastAsia="ja-JP"/>
        </w:rPr>
        <w:t>2</w:t>
      </w:r>
      <w:r w:rsidRPr="006F3622">
        <w:rPr>
          <w:rFonts w:eastAsia="MS PGothic" w:cs="Times New Roman"/>
          <w:color w:val="333333"/>
          <w:szCs w:val="24"/>
          <w:lang w:eastAsia="ja-JP"/>
        </w:rPr>
        <w:t xml:space="preserve"> </w:t>
      </w:r>
      <w:r w:rsidRPr="006F3622">
        <w:rPr>
          <w:rFonts w:eastAsia="MS PGothic" w:cs="Times New Roman"/>
          <w:color w:val="000000"/>
          <w:spacing w:val="1"/>
          <w:szCs w:val="24"/>
          <w:lang w:eastAsia="ja-JP"/>
        </w:rPr>
        <w:t>- вероятността от реализиране на заплахата е от 10 % до 30 %;</w:t>
      </w:r>
    </w:p>
    <w:p w14:paraId="0C90B72D" w14:textId="77777777" w:rsidR="00D60C33" w:rsidRPr="006F3622" w:rsidRDefault="00D60C33" w:rsidP="00D60C33">
      <w:pPr>
        <w:spacing w:after="0" w:line="240" w:lineRule="auto"/>
        <w:textAlignment w:val="top"/>
        <w:rPr>
          <w:rFonts w:eastAsia="MS PGothic" w:cs="Times New Roman"/>
          <w:color w:val="333333"/>
          <w:szCs w:val="24"/>
          <w:lang w:eastAsia="ja-JP"/>
        </w:rPr>
      </w:pPr>
      <w:r w:rsidRPr="006F3622">
        <w:rPr>
          <w:rFonts w:eastAsia="MS PGothic" w:cs="Times New Roman"/>
          <w:b/>
          <w:bCs/>
          <w:color w:val="000000"/>
          <w:spacing w:val="1"/>
          <w:szCs w:val="24"/>
          <w:lang w:eastAsia="ja-JP"/>
        </w:rPr>
        <w:t>3</w:t>
      </w:r>
      <w:r w:rsidRPr="006F3622">
        <w:rPr>
          <w:rFonts w:eastAsia="MS PGothic" w:cs="Times New Roman"/>
          <w:color w:val="333333"/>
          <w:szCs w:val="24"/>
          <w:lang w:eastAsia="ja-JP"/>
        </w:rPr>
        <w:t xml:space="preserve"> </w:t>
      </w:r>
      <w:r w:rsidRPr="006F3622">
        <w:rPr>
          <w:rFonts w:eastAsia="MS PGothic" w:cs="Times New Roman"/>
          <w:color w:val="000000"/>
          <w:spacing w:val="1"/>
          <w:szCs w:val="24"/>
          <w:lang w:eastAsia="ja-JP"/>
        </w:rPr>
        <w:t>- вероятността от реализиране на заплахата е от 30 % до 50 %;</w:t>
      </w:r>
    </w:p>
    <w:p w14:paraId="26CFE64E" w14:textId="77777777" w:rsidR="00D60C33" w:rsidRPr="006F3622" w:rsidRDefault="00D60C33" w:rsidP="00D60C33">
      <w:pPr>
        <w:spacing w:after="0" w:line="240" w:lineRule="auto"/>
        <w:textAlignment w:val="top"/>
        <w:rPr>
          <w:rFonts w:eastAsia="MS PGothic" w:cs="Times New Roman"/>
          <w:color w:val="333333"/>
          <w:szCs w:val="24"/>
          <w:lang w:eastAsia="ja-JP"/>
        </w:rPr>
      </w:pPr>
      <w:r w:rsidRPr="006F3622">
        <w:rPr>
          <w:rFonts w:eastAsia="MS PGothic" w:cs="Times New Roman"/>
          <w:b/>
          <w:bCs/>
          <w:color w:val="000000"/>
          <w:spacing w:val="1"/>
          <w:szCs w:val="24"/>
          <w:lang w:eastAsia="ja-JP"/>
        </w:rPr>
        <w:t>4</w:t>
      </w:r>
      <w:r w:rsidRPr="006F3622">
        <w:rPr>
          <w:rFonts w:eastAsia="MS PGothic" w:cs="Times New Roman"/>
          <w:color w:val="333333"/>
          <w:szCs w:val="24"/>
          <w:lang w:eastAsia="ja-JP"/>
        </w:rPr>
        <w:t xml:space="preserve"> </w:t>
      </w:r>
      <w:r w:rsidRPr="006F3622">
        <w:rPr>
          <w:rFonts w:eastAsia="MS PGothic" w:cs="Times New Roman"/>
          <w:color w:val="000000"/>
          <w:spacing w:val="1"/>
          <w:szCs w:val="24"/>
          <w:lang w:eastAsia="ja-JP"/>
        </w:rPr>
        <w:t>- вероятността от реализиране на заплахата е от 50 % до 70 %;</w:t>
      </w:r>
    </w:p>
    <w:p w14:paraId="10C31794" w14:textId="77777777" w:rsidR="00D60C33" w:rsidRPr="006F3622" w:rsidRDefault="00D60C33" w:rsidP="00D60C33">
      <w:pPr>
        <w:spacing w:after="0" w:line="240" w:lineRule="auto"/>
        <w:textAlignment w:val="top"/>
        <w:rPr>
          <w:rFonts w:eastAsia="MS PGothic" w:cs="Times New Roman"/>
          <w:color w:val="333333"/>
          <w:szCs w:val="24"/>
          <w:lang w:eastAsia="ja-JP"/>
        </w:rPr>
      </w:pPr>
      <w:r w:rsidRPr="006F3622">
        <w:rPr>
          <w:rFonts w:eastAsia="MS PGothic" w:cs="Times New Roman"/>
          <w:b/>
          <w:bCs/>
          <w:color w:val="000000"/>
          <w:spacing w:val="1"/>
          <w:szCs w:val="24"/>
          <w:lang w:eastAsia="ja-JP"/>
        </w:rPr>
        <w:t>5</w:t>
      </w:r>
      <w:r w:rsidRPr="006F3622">
        <w:rPr>
          <w:rFonts w:eastAsia="MS PGothic" w:cs="Times New Roman"/>
          <w:color w:val="333333"/>
          <w:szCs w:val="24"/>
          <w:lang w:eastAsia="ja-JP"/>
        </w:rPr>
        <w:t xml:space="preserve"> </w:t>
      </w:r>
      <w:r w:rsidRPr="006F3622">
        <w:rPr>
          <w:rFonts w:eastAsia="MS PGothic" w:cs="Times New Roman"/>
          <w:color w:val="000000"/>
          <w:spacing w:val="1"/>
          <w:szCs w:val="24"/>
          <w:lang w:eastAsia="ja-JP"/>
        </w:rPr>
        <w:t>- вероятността от реализиране на заплахата е над 70 %.</w:t>
      </w:r>
    </w:p>
    <w:p w14:paraId="3A8011C2" w14:textId="77777777" w:rsidR="00F92E84" w:rsidRPr="006F3622" w:rsidRDefault="00F92E84" w:rsidP="00D60C33">
      <w:pPr>
        <w:spacing w:after="0" w:line="240" w:lineRule="auto"/>
        <w:textAlignment w:val="top"/>
        <w:rPr>
          <w:rFonts w:eastAsia="MS PGothic" w:cs="Times New Roman"/>
          <w:b/>
          <w:bCs/>
          <w:color w:val="000000"/>
          <w:spacing w:val="1"/>
          <w:szCs w:val="24"/>
          <w:lang w:eastAsia="ja-JP"/>
        </w:rPr>
      </w:pPr>
    </w:p>
    <w:p w14:paraId="003B7216" w14:textId="77777777" w:rsidR="00D60C33" w:rsidRPr="006F3622" w:rsidRDefault="00D60C33" w:rsidP="00D60C33">
      <w:pPr>
        <w:spacing w:after="0" w:line="240" w:lineRule="auto"/>
        <w:textAlignment w:val="top"/>
        <w:rPr>
          <w:rFonts w:eastAsia="MS PGothic" w:cs="Times New Roman"/>
          <w:b/>
          <w:bCs/>
          <w:color w:val="000000"/>
          <w:spacing w:val="1"/>
          <w:szCs w:val="24"/>
          <w:lang w:eastAsia="ja-JP"/>
        </w:rPr>
      </w:pPr>
      <w:r w:rsidRPr="006F3622">
        <w:rPr>
          <w:rFonts w:eastAsia="MS PGothic" w:cs="Times New Roman"/>
          <w:b/>
          <w:bCs/>
          <w:color w:val="000000"/>
          <w:spacing w:val="1"/>
          <w:szCs w:val="24"/>
          <w:lang w:eastAsia="ja-JP"/>
        </w:rPr>
        <w:t>Оценка на риска</w:t>
      </w:r>
    </w:p>
    <w:p w14:paraId="7CB79685" w14:textId="77777777" w:rsidR="00C05026" w:rsidRPr="006F3622" w:rsidRDefault="00C05026" w:rsidP="00D60C33">
      <w:pPr>
        <w:spacing w:after="0" w:line="240" w:lineRule="auto"/>
        <w:textAlignment w:val="top"/>
        <w:rPr>
          <w:rFonts w:eastAsia="MS PGothic" w:cs="Times New Roman"/>
          <w:color w:val="333333"/>
          <w:szCs w:val="24"/>
          <w:lang w:eastAsia="ja-JP"/>
        </w:rPr>
      </w:pPr>
    </w:p>
    <w:p w14:paraId="6D6E6B7C" w14:textId="6D73CE4C" w:rsidR="00D60C33" w:rsidRDefault="00D60C33" w:rsidP="00D60C33">
      <w:pPr>
        <w:spacing w:after="0" w:line="240" w:lineRule="auto"/>
        <w:textAlignment w:val="top"/>
        <w:rPr>
          <w:rFonts w:eastAsia="MS PGothic" w:cs="Times New Roman"/>
          <w:color w:val="000000"/>
          <w:spacing w:val="1"/>
          <w:szCs w:val="24"/>
          <w:lang w:eastAsia="ja-JP"/>
        </w:rPr>
      </w:pPr>
      <w:r w:rsidRPr="006F3622">
        <w:rPr>
          <w:rFonts w:eastAsia="MS PGothic" w:cs="Times New Roman"/>
          <w:color w:val="000000"/>
          <w:spacing w:val="1"/>
          <w:szCs w:val="24"/>
          <w:lang w:eastAsia="ja-JP"/>
        </w:rPr>
        <w:t>За получаване на оценката на риска се използва следната формула:</w:t>
      </w:r>
      <w:r w:rsidR="00317634" w:rsidRPr="006F3622">
        <w:rPr>
          <w:rFonts w:eastAsia="MS PGothic" w:cs="Times New Roman"/>
          <w:color w:val="000000"/>
          <w:spacing w:val="1"/>
          <w:szCs w:val="24"/>
          <w:lang w:eastAsia="ja-JP"/>
        </w:rPr>
        <w:t xml:space="preserve"> </w:t>
      </w:r>
    </w:p>
    <w:p w14:paraId="5135C276" w14:textId="77777777" w:rsidR="00246CE9" w:rsidRPr="006F3622" w:rsidRDefault="00246CE9" w:rsidP="00D60C33">
      <w:pPr>
        <w:spacing w:after="0" w:line="240" w:lineRule="auto"/>
        <w:textAlignment w:val="top"/>
        <w:rPr>
          <w:rFonts w:eastAsia="MS PGothic" w:cs="Times New Roman"/>
          <w:color w:val="333333"/>
          <w:szCs w:val="24"/>
          <w:lang w:eastAsia="ja-JP"/>
        </w:rPr>
      </w:pPr>
    </w:p>
    <w:p w14:paraId="05366060" w14:textId="0E0911D2" w:rsidR="002E61AE" w:rsidRDefault="00D60C33" w:rsidP="002E61AE">
      <w:pPr>
        <w:spacing w:after="0" w:line="240" w:lineRule="auto"/>
        <w:ind w:left="1080"/>
        <w:jc w:val="both"/>
        <w:rPr>
          <w:rFonts w:eastAsia="MS PGothic" w:cs="Times New Roman"/>
          <w:b/>
          <w:bCs/>
          <w:i/>
          <w:iCs/>
          <w:color w:val="000000"/>
          <w:spacing w:val="1"/>
          <w:szCs w:val="24"/>
          <w:lang w:eastAsia="ja-JP"/>
        </w:rPr>
      </w:pPr>
      <w:r w:rsidRPr="006F3622">
        <w:rPr>
          <w:rFonts w:eastAsia="MS PGothic" w:cs="Times New Roman"/>
          <w:b/>
          <w:bCs/>
          <w:i/>
          <w:iCs/>
          <w:color w:val="000000"/>
          <w:spacing w:val="1"/>
          <w:szCs w:val="24"/>
          <w:lang w:eastAsia="ja-JP"/>
        </w:rPr>
        <w:t>Оценка на въздействие × Оценка на вероятност = Оценка на риска</w:t>
      </w:r>
    </w:p>
    <w:p w14:paraId="167211B2" w14:textId="77777777" w:rsidR="00246CE9" w:rsidRPr="00F92E84" w:rsidRDefault="00246CE9" w:rsidP="00F368C4">
      <w:pPr>
        <w:spacing w:after="0" w:line="240" w:lineRule="auto"/>
        <w:jc w:val="both"/>
        <w:rPr>
          <w:rFonts w:cs="Times New Roman"/>
          <w:i/>
          <w:iCs/>
          <w:szCs w:val="24"/>
          <w:lang w:eastAsia="bg-BG"/>
        </w:rPr>
      </w:pPr>
    </w:p>
    <w:tbl>
      <w:tblPr>
        <w:tblStyle w:val="TableGrid"/>
        <w:tblW w:w="0" w:type="auto"/>
        <w:tblInd w:w="1080" w:type="dxa"/>
        <w:tblLook w:val="04A0" w:firstRow="1" w:lastRow="0" w:firstColumn="1" w:lastColumn="0" w:noHBand="0" w:noVBand="1"/>
      </w:tblPr>
      <w:tblGrid>
        <w:gridCol w:w="609"/>
        <w:gridCol w:w="421"/>
        <w:gridCol w:w="1439"/>
        <w:gridCol w:w="1439"/>
        <w:gridCol w:w="1439"/>
        <w:gridCol w:w="1439"/>
        <w:gridCol w:w="1439"/>
      </w:tblGrid>
      <w:tr w:rsidR="002E61AE" w:rsidRPr="00F92E84" w14:paraId="255499AF" w14:textId="77777777" w:rsidTr="00F368C4">
        <w:trPr>
          <w:trHeight w:val="293"/>
        </w:trPr>
        <w:tc>
          <w:tcPr>
            <w:tcW w:w="609" w:type="dxa"/>
          </w:tcPr>
          <w:p w14:paraId="121BE3FF" w14:textId="77777777" w:rsidR="002E61AE" w:rsidRPr="00F92E84" w:rsidRDefault="002E61AE" w:rsidP="00175595">
            <w:pPr>
              <w:jc w:val="both"/>
              <w:rPr>
                <w:rFonts w:cs="Times New Roman"/>
                <w:i/>
                <w:iCs/>
                <w:szCs w:val="24"/>
                <w:lang w:eastAsia="bg-BG"/>
              </w:rPr>
            </w:pPr>
          </w:p>
        </w:tc>
        <w:tc>
          <w:tcPr>
            <w:tcW w:w="421" w:type="dxa"/>
          </w:tcPr>
          <w:p w14:paraId="53066C0D" w14:textId="77777777" w:rsidR="002E61AE" w:rsidRPr="00F92E84" w:rsidRDefault="002E61AE" w:rsidP="00175595">
            <w:pPr>
              <w:jc w:val="both"/>
              <w:rPr>
                <w:rFonts w:cs="Times New Roman"/>
                <w:i/>
                <w:iCs/>
                <w:szCs w:val="24"/>
                <w:lang w:eastAsia="bg-BG"/>
              </w:rPr>
            </w:pPr>
          </w:p>
        </w:tc>
        <w:tc>
          <w:tcPr>
            <w:tcW w:w="7195" w:type="dxa"/>
            <w:gridSpan w:val="5"/>
            <w:shd w:val="clear" w:color="auto" w:fill="9CC2E5" w:themeFill="accent1" w:themeFillTint="99"/>
          </w:tcPr>
          <w:p w14:paraId="386C1454" w14:textId="77777777" w:rsidR="002E61AE" w:rsidRPr="00F92E84" w:rsidRDefault="002E61AE" w:rsidP="00175595">
            <w:pPr>
              <w:jc w:val="center"/>
              <w:rPr>
                <w:rFonts w:cs="Times New Roman"/>
                <w:b/>
                <w:bCs/>
                <w:i/>
                <w:iCs/>
                <w:szCs w:val="24"/>
                <w:lang w:eastAsia="bg-BG"/>
              </w:rPr>
            </w:pPr>
            <w:r w:rsidRPr="00F92E84">
              <w:rPr>
                <w:rFonts w:cs="Times New Roman"/>
                <w:b/>
                <w:bCs/>
                <w:i/>
                <w:iCs/>
                <w:szCs w:val="24"/>
                <w:lang w:eastAsia="bg-BG"/>
              </w:rPr>
              <w:t>вероятност</w:t>
            </w:r>
          </w:p>
        </w:tc>
      </w:tr>
      <w:tr w:rsidR="002E61AE" w:rsidRPr="00F92E84" w14:paraId="37F069A1" w14:textId="77777777" w:rsidTr="00F368C4">
        <w:trPr>
          <w:trHeight w:val="293"/>
        </w:trPr>
        <w:tc>
          <w:tcPr>
            <w:tcW w:w="609" w:type="dxa"/>
          </w:tcPr>
          <w:p w14:paraId="399886C5" w14:textId="77777777" w:rsidR="002E61AE" w:rsidRPr="00F92E84" w:rsidRDefault="002E61AE" w:rsidP="00175595">
            <w:pPr>
              <w:jc w:val="both"/>
              <w:rPr>
                <w:rFonts w:cs="Times New Roman"/>
                <w:i/>
                <w:iCs/>
                <w:szCs w:val="24"/>
                <w:lang w:eastAsia="bg-BG"/>
              </w:rPr>
            </w:pPr>
          </w:p>
        </w:tc>
        <w:tc>
          <w:tcPr>
            <w:tcW w:w="421" w:type="dxa"/>
          </w:tcPr>
          <w:p w14:paraId="2B771640" w14:textId="77777777" w:rsidR="002E61AE" w:rsidRPr="00F92E84" w:rsidRDefault="002E61AE" w:rsidP="00175595">
            <w:pPr>
              <w:jc w:val="both"/>
              <w:rPr>
                <w:rFonts w:cs="Times New Roman"/>
                <w:i/>
                <w:iCs/>
                <w:szCs w:val="24"/>
                <w:lang w:eastAsia="bg-BG"/>
              </w:rPr>
            </w:pPr>
          </w:p>
        </w:tc>
        <w:tc>
          <w:tcPr>
            <w:tcW w:w="1439" w:type="dxa"/>
            <w:shd w:val="clear" w:color="auto" w:fill="DEEAF6" w:themeFill="accent1" w:themeFillTint="33"/>
          </w:tcPr>
          <w:p w14:paraId="129D5132"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10 %</w:t>
            </w:r>
          </w:p>
        </w:tc>
        <w:tc>
          <w:tcPr>
            <w:tcW w:w="1439" w:type="dxa"/>
            <w:shd w:val="clear" w:color="auto" w:fill="DEEAF6" w:themeFill="accent1" w:themeFillTint="33"/>
          </w:tcPr>
          <w:p w14:paraId="3840AAA1" w14:textId="77777777" w:rsidR="002E61AE" w:rsidRPr="00F92E84" w:rsidRDefault="002E61AE" w:rsidP="00175595">
            <w:pPr>
              <w:jc w:val="center"/>
              <w:rPr>
                <w:rFonts w:cs="Times New Roman"/>
                <w:i/>
                <w:iCs/>
                <w:szCs w:val="24"/>
                <w:lang w:eastAsia="bg-BG"/>
              </w:rPr>
            </w:pPr>
            <w:r w:rsidRPr="00F92E84">
              <w:rPr>
                <w:rFonts w:cs="Times New Roman"/>
                <w:i/>
                <w:iCs/>
                <w:szCs w:val="24"/>
                <w:lang w:eastAsia="bg-BG"/>
              </w:rPr>
              <w:t>30%</w:t>
            </w:r>
          </w:p>
        </w:tc>
        <w:tc>
          <w:tcPr>
            <w:tcW w:w="1439" w:type="dxa"/>
            <w:shd w:val="clear" w:color="auto" w:fill="DEEAF6" w:themeFill="accent1" w:themeFillTint="33"/>
          </w:tcPr>
          <w:p w14:paraId="23DEB68F" w14:textId="77777777" w:rsidR="002E61AE" w:rsidRPr="00F92E84" w:rsidRDefault="002E61AE" w:rsidP="00175595">
            <w:pPr>
              <w:jc w:val="center"/>
              <w:rPr>
                <w:rFonts w:cs="Times New Roman"/>
                <w:i/>
                <w:iCs/>
                <w:szCs w:val="24"/>
                <w:lang w:eastAsia="bg-BG"/>
              </w:rPr>
            </w:pPr>
            <w:r w:rsidRPr="00F92E84">
              <w:rPr>
                <w:rFonts w:cs="Times New Roman"/>
                <w:i/>
                <w:iCs/>
                <w:szCs w:val="24"/>
                <w:lang w:eastAsia="bg-BG"/>
              </w:rPr>
              <w:t>50 %</w:t>
            </w:r>
          </w:p>
        </w:tc>
        <w:tc>
          <w:tcPr>
            <w:tcW w:w="1439" w:type="dxa"/>
            <w:shd w:val="clear" w:color="auto" w:fill="DEEAF6" w:themeFill="accent1" w:themeFillTint="33"/>
          </w:tcPr>
          <w:p w14:paraId="320E5E26"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70 %</w:t>
            </w:r>
          </w:p>
        </w:tc>
        <w:tc>
          <w:tcPr>
            <w:tcW w:w="1439" w:type="dxa"/>
            <w:shd w:val="clear" w:color="auto" w:fill="DEEAF6" w:themeFill="accent1" w:themeFillTint="33"/>
          </w:tcPr>
          <w:p w14:paraId="6C3E953E" w14:textId="77777777" w:rsidR="002E61AE" w:rsidRPr="00F92E84" w:rsidRDefault="002E61AE" w:rsidP="00175595">
            <w:pPr>
              <w:jc w:val="both"/>
              <w:rPr>
                <w:rFonts w:cs="Times New Roman"/>
                <w:i/>
                <w:iCs/>
                <w:szCs w:val="24"/>
                <w:lang w:eastAsia="bg-BG"/>
              </w:rPr>
            </w:pPr>
            <w:r>
              <w:rPr>
                <w:rFonts w:cs="Times New Roman"/>
                <w:i/>
                <w:iCs/>
                <w:szCs w:val="24"/>
                <w:lang w:eastAsia="bg-BG"/>
              </w:rPr>
              <w:t>над 7</w:t>
            </w:r>
            <w:r w:rsidRPr="00F92E84">
              <w:rPr>
                <w:rFonts w:cs="Times New Roman"/>
                <w:i/>
                <w:iCs/>
                <w:szCs w:val="24"/>
                <w:lang w:eastAsia="bg-BG"/>
              </w:rPr>
              <w:t>0 %</w:t>
            </w:r>
          </w:p>
        </w:tc>
      </w:tr>
      <w:tr w:rsidR="002E61AE" w:rsidRPr="00F92E84" w14:paraId="11B3FF10" w14:textId="77777777" w:rsidTr="00F368C4">
        <w:trPr>
          <w:trHeight w:val="305"/>
        </w:trPr>
        <w:tc>
          <w:tcPr>
            <w:tcW w:w="609" w:type="dxa"/>
            <w:vMerge w:val="restart"/>
            <w:shd w:val="clear" w:color="auto" w:fill="9CC2E5" w:themeFill="accent1" w:themeFillTint="99"/>
            <w:textDirection w:val="btLr"/>
          </w:tcPr>
          <w:p w14:paraId="1D1113F1" w14:textId="77777777" w:rsidR="002E61AE" w:rsidRPr="00F92E84" w:rsidRDefault="002E61AE" w:rsidP="00175595">
            <w:pPr>
              <w:ind w:left="113" w:right="113"/>
              <w:jc w:val="both"/>
              <w:rPr>
                <w:rFonts w:cs="Times New Roman"/>
                <w:b/>
                <w:bCs/>
                <w:i/>
                <w:iCs/>
                <w:szCs w:val="24"/>
                <w:lang w:eastAsia="bg-BG"/>
              </w:rPr>
            </w:pPr>
            <w:r w:rsidRPr="00F92E84">
              <w:rPr>
                <w:rFonts w:cs="Times New Roman"/>
                <w:b/>
                <w:bCs/>
                <w:i/>
                <w:iCs/>
                <w:szCs w:val="24"/>
                <w:lang w:eastAsia="bg-BG"/>
              </w:rPr>
              <w:t>въздействие</w:t>
            </w:r>
          </w:p>
        </w:tc>
        <w:tc>
          <w:tcPr>
            <w:tcW w:w="421" w:type="dxa"/>
            <w:shd w:val="clear" w:color="auto" w:fill="DEEAF6" w:themeFill="accent1" w:themeFillTint="33"/>
          </w:tcPr>
          <w:p w14:paraId="3336BED9"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1</w:t>
            </w:r>
          </w:p>
        </w:tc>
        <w:tc>
          <w:tcPr>
            <w:tcW w:w="1439" w:type="dxa"/>
            <w:shd w:val="clear" w:color="auto" w:fill="BFBFBF" w:themeFill="background1" w:themeFillShade="BF"/>
          </w:tcPr>
          <w:p w14:paraId="56444A72"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shd w:val="clear" w:color="auto" w:fill="BFBFBF" w:themeFill="background1" w:themeFillShade="BF"/>
          </w:tcPr>
          <w:p w14:paraId="14E8D96C"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shd w:val="clear" w:color="auto" w:fill="BFBFBF" w:themeFill="background1" w:themeFillShade="BF"/>
          </w:tcPr>
          <w:p w14:paraId="43E9CE30"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shd w:val="clear" w:color="auto" w:fill="BFBFBF" w:themeFill="background1" w:themeFillShade="BF"/>
          </w:tcPr>
          <w:p w14:paraId="7B97EBFD"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tcPr>
          <w:p w14:paraId="0E453FF9"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r>
      <w:tr w:rsidR="002E61AE" w:rsidRPr="00F92E84" w14:paraId="3D4503D6" w14:textId="77777777" w:rsidTr="00F368C4">
        <w:trPr>
          <w:trHeight w:val="305"/>
        </w:trPr>
        <w:tc>
          <w:tcPr>
            <w:tcW w:w="609" w:type="dxa"/>
            <w:vMerge/>
            <w:shd w:val="clear" w:color="auto" w:fill="9CC2E5" w:themeFill="accent1" w:themeFillTint="99"/>
          </w:tcPr>
          <w:p w14:paraId="414CC6DA" w14:textId="77777777" w:rsidR="002E61AE" w:rsidRPr="00F92E84" w:rsidRDefault="002E61AE" w:rsidP="00175595">
            <w:pPr>
              <w:jc w:val="both"/>
              <w:rPr>
                <w:rFonts w:cs="Times New Roman"/>
                <w:b/>
                <w:bCs/>
                <w:i/>
                <w:iCs/>
                <w:szCs w:val="24"/>
                <w:lang w:eastAsia="bg-BG"/>
              </w:rPr>
            </w:pPr>
          </w:p>
        </w:tc>
        <w:tc>
          <w:tcPr>
            <w:tcW w:w="421" w:type="dxa"/>
            <w:shd w:val="clear" w:color="auto" w:fill="DEEAF6" w:themeFill="accent1" w:themeFillTint="33"/>
          </w:tcPr>
          <w:p w14:paraId="39758252"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2</w:t>
            </w:r>
          </w:p>
        </w:tc>
        <w:tc>
          <w:tcPr>
            <w:tcW w:w="1439" w:type="dxa"/>
            <w:shd w:val="clear" w:color="auto" w:fill="BFBFBF" w:themeFill="background1" w:themeFillShade="BF"/>
          </w:tcPr>
          <w:p w14:paraId="6C15578E"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shd w:val="clear" w:color="auto" w:fill="BFBFBF" w:themeFill="background1" w:themeFillShade="BF"/>
          </w:tcPr>
          <w:p w14:paraId="09CCE5A4"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tcPr>
          <w:p w14:paraId="14926C38"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504E5731"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6873CB24"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r>
      <w:tr w:rsidR="002E61AE" w:rsidRPr="00F92E84" w14:paraId="73AB7E9D" w14:textId="77777777" w:rsidTr="00F368C4">
        <w:trPr>
          <w:trHeight w:val="305"/>
        </w:trPr>
        <w:tc>
          <w:tcPr>
            <w:tcW w:w="609" w:type="dxa"/>
            <w:vMerge/>
            <w:shd w:val="clear" w:color="auto" w:fill="9CC2E5" w:themeFill="accent1" w:themeFillTint="99"/>
          </w:tcPr>
          <w:p w14:paraId="1BB107D4" w14:textId="77777777" w:rsidR="002E61AE" w:rsidRPr="00F92E84" w:rsidRDefault="002E61AE" w:rsidP="00175595">
            <w:pPr>
              <w:jc w:val="both"/>
              <w:rPr>
                <w:rFonts w:cs="Times New Roman"/>
                <w:b/>
                <w:bCs/>
                <w:i/>
                <w:iCs/>
                <w:szCs w:val="24"/>
                <w:lang w:eastAsia="bg-BG"/>
              </w:rPr>
            </w:pPr>
          </w:p>
        </w:tc>
        <w:tc>
          <w:tcPr>
            <w:tcW w:w="421" w:type="dxa"/>
            <w:shd w:val="clear" w:color="auto" w:fill="DEEAF6" w:themeFill="accent1" w:themeFillTint="33"/>
          </w:tcPr>
          <w:p w14:paraId="718616BF"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3</w:t>
            </w:r>
          </w:p>
        </w:tc>
        <w:tc>
          <w:tcPr>
            <w:tcW w:w="1439" w:type="dxa"/>
            <w:shd w:val="clear" w:color="auto" w:fill="BFBFBF" w:themeFill="background1" w:themeFillShade="BF"/>
          </w:tcPr>
          <w:p w14:paraId="40238935"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tcPr>
          <w:p w14:paraId="2E539EC8"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58FF210B"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4EA37A49"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shd w:val="clear" w:color="auto" w:fill="808080" w:themeFill="background1" w:themeFillShade="80"/>
          </w:tcPr>
          <w:p w14:paraId="709733CF"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r>
      <w:tr w:rsidR="002E61AE" w:rsidRPr="00F92E84" w14:paraId="77933B7A" w14:textId="77777777" w:rsidTr="00F368C4">
        <w:trPr>
          <w:trHeight w:val="305"/>
        </w:trPr>
        <w:tc>
          <w:tcPr>
            <w:tcW w:w="609" w:type="dxa"/>
            <w:vMerge/>
            <w:shd w:val="clear" w:color="auto" w:fill="9CC2E5" w:themeFill="accent1" w:themeFillTint="99"/>
          </w:tcPr>
          <w:p w14:paraId="152534F7" w14:textId="77777777" w:rsidR="002E61AE" w:rsidRPr="00F92E84" w:rsidRDefault="002E61AE" w:rsidP="00175595">
            <w:pPr>
              <w:jc w:val="both"/>
              <w:rPr>
                <w:rFonts w:cs="Times New Roman"/>
                <w:b/>
                <w:bCs/>
                <w:i/>
                <w:iCs/>
                <w:szCs w:val="24"/>
                <w:lang w:eastAsia="bg-BG"/>
              </w:rPr>
            </w:pPr>
          </w:p>
        </w:tc>
        <w:tc>
          <w:tcPr>
            <w:tcW w:w="421" w:type="dxa"/>
            <w:shd w:val="clear" w:color="auto" w:fill="DEEAF6" w:themeFill="accent1" w:themeFillTint="33"/>
          </w:tcPr>
          <w:p w14:paraId="4F6D98CF"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4</w:t>
            </w:r>
          </w:p>
        </w:tc>
        <w:tc>
          <w:tcPr>
            <w:tcW w:w="1439" w:type="dxa"/>
            <w:shd w:val="clear" w:color="auto" w:fill="BFBFBF" w:themeFill="background1" w:themeFillShade="BF"/>
          </w:tcPr>
          <w:p w14:paraId="3A8C1611"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ниско</w:t>
            </w:r>
          </w:p>
        </w:tc>
        <w:tc>
          <w:tcPr>
            <w:tcW w:w="1439" w:type="dxa"/>
          </w:tcPr>
          <w:p w14:paraId="2B374DFD"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03B7A527"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shd w:val="clear" w:color="auto" w:fill="808080" w:themeFill="background1" w:themeFillShade="80"/>
          </w:tcPr>
          <w:p w14:paraId="37476C29"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c>
          <w:tcPr>
            <w:tcW w:w="1439" w:type="dxa"/>
            <w:shd w:val="clear" w:color="auto" w:fill="808080" w:themeFill="background1" w:themeFillShade="80"/>
          </w:tcPr>
          <w:p w14:paraId="4A0D3411"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r>
      <w:tr w:rsidR="002E61AE" w:rsidRPr="00F92E84" w14:paraId="2C69DC5E" w14:textId="77777777" w:rsidTr="00F368C4">
        <w:trPr>
          <w:trHeight w:val="305"/>
        </w:trPr>
        <w:tc>
          <w:tcPr>
            <w:tcW w:w="609" w:type="dxa"/>
            <w:vMerge/>
            <w:shd w:val="clear" w:color="auto" w:fill="9CC2E5" w:themeFill="accent1" w:themeFillTint="99"/>
          </w:tcPr>
          <w:p w14:paraId="665DA636" w14:textId="77777777" w:rsidR="002E61AE" w:rsidRPr="00F92E84" w:rsidRDefault="002E61AE" w:rsidP="00175595">
            <w:pPr>
              <w:jc w:val="both"/>
              <w:rPr>
                <w:rFonts w:cs="Times New Roman"/>
                <w:b/>
                <w:bCs/>
                <w:i/>
                <w:iCs/>
                <w:szCs w:val="24"/>
                <w:lang w:eastAsia="bg-BG"/>
              </w:rPr>
            </w:pPr>
          </w:p>
        </w:tc>
        <w:tc>
          <w:tcPr>
            <w:tcW w:w="421" w:type="dxa"/>
            <w:shd w:val="clear" w:color="auto" w:fill="DEEAF6" w:themeFill="accent1" w:themeFillTint="33"/>
          </w:tcPr>
          <w:p w14:paraId="31BE5F3A"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5</w:t>
            </w:r>
          </w:p>
        </w:tc>
        <w:tc>
          <w:tcPr>
            <w:tcW w:w="1439" w:type="dxa"/>
          </w:tcPr>
          <w:p w14:paraId="6F580657"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tcPr>
          <w:p w14:paraId="1EF82261"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значително</w:t>
            </w:r>
          </w:p>
        </w:tc>
        <w:tc>
          <w:tcPr>
            <w:tcW w:w="1439" w:type="dxa"/>
            <w:shd w:val="clear" w:color="auto" w:fill="808080" w:themeFill="background1" w:themeFillShade="80"/>
          </w:tcPr>
          <w:p w14:paraId="304BB6EF"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c>
          <w:tcPr>
            <w:tcW w:w="1439" w:type="dxa"/>
            <w:shd w:val="clear" w:color="auto" w:fill="808080" w:themeFill="background1" w:themeFillShade="80"/>
          </w:tcPr>
          <w:p w14:paraId="63B5C48A"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c>
          <w:tcPr>
            <w:tcW w:w="1439" w:type="dxa"/>
            <w:shd w:val="clear" w:color="auto" w:fill="808080" w:themeFill="background1" w:themeFillShade="80"/>
          </w:tcPr>
          <w:p w14:paraId="4F41DA8B" w14:textId="77777777" w:rsidR="002E61AE" w:rsidRPr="00F92E84" w:rsidRDefault="002E61AE" w:rsidP="00175595">
            <w:pPr>
              <w:jc w:val="both"/>
              <w:rPr>
                <w:rFonts w:cs="Times New Roman"/>
                <w:i/>
                <w:iCs/>
                <w:szCs w:val="24"/>
                <w:lang w:eastAsia="bg-BG"/>
              </w:rPr>
            </w:pPr>
            <w:r w:rsidRPr="00F92E84">
              <w:rPr>
                <w:rFonts w:cs="Times New Roman"/>
                <w:i/>
                <w:iCs/>
                <w:szCs w:val="24"/>
                <w:lang w:eastAsia="bg-BG"/>
              </w:rPr>
              <w:t>високо</w:t>
            </w:r>
          </w:p>
        </w:tc>
      </w:tr>
    </w:tbl>
    <w:p w14:paraId="212DD12D" w14:textId="65DF4FD0" w:rsidR="009D79EB" w:rsidRDefault="009D79EB" w:rsidP="004D0868">
      <w:pPr>
        <w:tabs>
          <w:tab w:val="left" w:pos="1348"/>
        </w:tabs>
        <w:spacing w:after="0"/>
        <w:rPr>
          <w:rFonts w:cs="Times New Roman"/>
          <w:szCs w:val="24"/>
          <w:lang w:val="en-US"/>
        </w:rPr>
      </w:pPr>
    </w:p>
    <w:sectPr w:rsidR="009D79EB" w:rsidSect="00805926">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B8B7" w14:textId="77777777" w:rsidR="00A030F6" w:rsidRDefault="00A030F6" w:rsidP="002B108B">
      <w:pPr>
        <w:spacing w:after="0" w:line="240" w:lineRule="auto"/>
      </w:pPr>
      <w:r>
        <w:separator/>
      </w:r>
    </w:p>
  </w:endnote>
  <w:endnote w:type="continuationSeparator" w:id="0">
    <w:p w14:paraId="54B15DB6" w14:textId="77777777" w:rsidR="00A030F6" w:rsidRDefault="00A030F6" w:rsidP="002B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79024"/>
      <w:docPartObj>
        <w:docPartGallery w:val="Page Numbers (Bottom of Page)"/>
        <w:docPartUnique/>
      </w:docPartObj>
    </w:sdtPr>
    <w:sdtEndPr>
      <w:rPr>
        <w:noProof/>
      </w:rPr>
    </w:sdtEndPr>
    <w:sdtContent>
      <w:p w14:paraId="255D112E" w14:textId="64F2CE1D" w:rsidR="002B108B" w:rsidRDefault="002B108B">
        <w:pPr>
          <w:pStyle w:val="Footer"/>
          <w:jc w:val="right"/>
        </w:pPr>
        <w:r>
          <w:fldChar w:fldCharType="begin"/>
        </w:r>
        <w:r>
          <w:instrText xml:space="preserve"> PAGE   \* MERGEFORMAT </w:instrText>
        </w:r>
        <w:r>
          <w:fldChar w:fldCharType="separate"/>
        </w:r>
        <w:r w:rsidR="007039FB">
          <w:rPr>
            <w:noProof/>
          </w:rPr>
          <w:t>2</w:t>
        </w:r>
        <w:r>
          <w:rPr>
            <w:noProof/>
          </w:rPr>
          <w:fldChar w:fldCharType="end"/>
        </w:r>
      </w:p>
    </w:sdtContent>
  </w:sdt>
  <w:p w14:paraId="43CEEFEA" w14:textId="77777777" w:rsidR="002B108B" w:rsidRDefault="002B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F1B4" w14:textId="77777777" w:rsidR="00A030F6" w:rsidRDefault="00A030F6" w:rsidP="002B108B">
      <w:pPr>
        <w:spacing w:after="0" w:line="240" w:lineRule="auto"/>
      </w:pPr>
      <w:r>
        <w:separator/>
      </w:r>
    </w:p>
  </w:footnote>
  <w:footnote w:type="continuationSeparator" w:id="0">
    <w:p w14:paraId="03D5999B" w14:textId="77777777" w:rsidR="00A030F6" w:rsidRDefault="00A030F6" w:rsidP="002B1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BFD"/>
    <w:multiLevelType w:val="hybridMultilevel"/>
    <w:tmpl w:val="FCBC6270"/>
    <w:lvl w:ilvl="0" w:tplc="2AECF9E8">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BA56C41"/>
    <w:multiLevelType w:val="hybridMultilevel"/>
    <w:tmpl w:val="0656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607C6"/>
    <w:multiLevelType w:val="hybridMultilevel"/>
    <w:tmpl w:val="FCD882B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6D6416F"/>
    <w:multiLevelType w:val="hybridMultilevel"/>
    <w:tmpl w:val="F34E9D92"/>
    <w:lvl w:ilvl="0" w:tplc="0402000B">
      <w:start w:val="1"/>
      <w:numFmt w:val="bullet"/>
      <w:lvlText w:val=""/>
      <w:lvlJc w:val="left"/>
      <w:pPr>
        <w:ind w:left="1004" w:hanging="360"/>
      </w:pPr>
      <w:rPr>
        <w:rFonts w:ascii="Wingdings" w:hAnsi="Wingdings"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215C6FB3"/>
    <w:multiLevelType w:val="hybridMultilevel"/>
    <w:tmpl w:val="FF4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D4ADB"/>
    <w:multiLevelType w:val="hybridMultilevel"/>
    <w:tmpl w:val="39A853D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nsid w:val="28311D43"/>
    <w:multiLevelType w:val="hybridMultilevel"/>
    <w:tmpl w:val="8F7C18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F3000B"/>
    <w:multiLevelType w:val="hybridMultilevel"/>
    <w:tmpl w:val="8CA05E2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3B2126FD"/>
    <w:multiLevelType w:val="hybridMultilevel"/>
    <w:tmpl w:val="C61CCE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3BF86079"/>
    <w:multiLevelType w:val="multilevel"/>
    <w:tmpl w:val="CEE0018A"/>
    <w:lvl w:ilvl="0">
      <w:start w:val="1"/>
      <w:numFmt w:val="upperRoman"/>
      <w:lvlText w:val="%1."/>
      <w:lvlJc w:val="left"/>
      <w:pPr>
        <w:ind w:left="862" w:hanging="720"/>
      </w:pPr>
      <w:rPr>
        <w:rFonts w:hint="default"/>
      </w:rPr>
    </w:lvl>
    <w:lvl w:ilvl="1">
      <w:start w:val="2"/>
      <w:numFmt w:val="decimal"/>
      <w:isLgl/>
      <w:lvlText w:val="%1.%2"/>
      <w:lvlJc w:val="left"/>
      <w:pPr>
        <w:ind w:left="720" w:hanging="360"/>
      </w:pPr>
      <w:rPr>
        <w:rFonts w:hint="default"/>
        <w:b/>
        <w:i/>
      </w:rPr>
    </w:lvl>
    <w:lvl w:ilvl="2">
      <w:start w:val="1"/>
      <w:numFmt w:val="decimal"/>
      <w:isLgl/>
      <w:lvlText w:val="%1.%2.%3"/>
      <w:lvlJc w:val="left"/>
      <w:pPr>
        <w:ind w:left="1298" w:hanging="720"/>
      </w:pPr>
      <w:rPr>
        <w:rFonts w:hint="default"/>
        <w:b/>
        <w:i/>
      </w:rPr>
    </w:lvl>
    <w:lvl w:ilvl="3">
      <w:start w:val="1"/>
      <w:numFmt w:val="decimal"/>
      <w:isLgl/>
      <w:lvlText w:val="%1.%2.%3.%4"/>
      <w:lvlJc w:val="left"/>
      <w:pPr>
        <w:ind w:left="1516" w:hanging="720"/>
      </w:pPr>
      <w:rPr>
        <w:rFonts w:hint="default"/>
        <w:b/>
        <w:i/>
      </w:rPr>
    </w:lvl>
    <w:lvl w:ilvl="4">
      <w:start w:val="1"/>
      <w:numFmt w:val="decimal"/>
      <w:isLgl/>
      <w:lvlText w:val="%1.%2.%3.%4.%5"/>
      <w:lvlJc w:val="left"/>
      <w:pPr>
        <w:ind w:left="2094" w:hanging="1080"/>
      </w:pPr>
      <w:rPr>
        <w:rFonts w:hint="default"/>
        <w:b/>
        <w:i/>
      </w:rPr>
    </w:lvl>
    <w:lvl w:ilvl="5">
      <w:start w:val="1"/>
      <w:numFmt w:val="decimal"/>
      <w:isLgl/>
      <w:lvlText w:val="%1.%2.%3.%4.%5.%6"/>
      <w:lvlJc w:val="left"/>
      <w:pPr>
        <w:ind w:left="2312" w:hanging="1080"/>
      </w:pPr>
      <w:rPr>
        <w:rFonts w:hint="default"/>
        <w:b/>
        <w:i/>
      </w:rPr>
    </w:lvl>
    <w:lvl w:ilvl="6">
      <w:start w:val="1"/>
      <w:numFmt w:val="decimal"/>
      <w:isLgl/>
      <w:lvlText w:val="%1.%2.%3.%4.%5.%6.%7"/>
      <w:lvlJc w:val="left"/>
      <w:pPr>
        <w:ind w:left="2890" w:hanging="1440"/>
      </w:pPr>
      <w:rPr>
        <w:rFonts w:hint="default"/>
        <w:b/>
        <w:i/>
      </w:rPr>
    </w:lvl>
    <w:lvl w:ilvl="7">
      <w:start w:val="1"/>
      <w:numFmt w:val="decimal"/>
      <w:isLgl/>
      <w:lvlText w:val="%1.%2.%3.%4.%5.%6.%7.%8"/>
      <w:lvlJc w:val="left"/>
      <w:pPr>
        <w:ind w:left="3108" w:hanging="1440"/>
      </w:pPr>
      <w:rPr>
        <w:rFonts w:hint="default"/>
        <w:b/>
        <w:i/>
      </w:rPr>
    </w:lvl>
    <w:lvl w:ilvl="8">
      <w:start w:val="1"/>
      <w:numFmt w:val="decimal"/>
      <w:isLgl/>
      <w:lvlText w:val="%1.%2.%3.%4.%5.%6.%7.%8.%9"/>
      <w:lvlJc w:val="left"/>
      <w:pPr>
        <w:ind w:left="3686" w:hanging="1800"/>
      </w:pPr>
      <w:rPr>
        <w:rFonts w:hint="default"/>
        <w:b/>
        <w:i/>
      </w:rPr>
    </w:lvl>
  </w:abstractNum>
  <w:abstractNum w:abstractNumId="10">
    <w:nsid w:val="46613F79"/>
    <w:multiLevelType w:val="hybridMultilevel"/>
    <w:tmpl w:val="A000988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491B667E"/>
    <w:multiLevelType w:val="hybridMultilevel"/>
    <w:tmpl w:val="858E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870401"/>
    <w:multiLevelType w:val="hybridMultilevel"/>
    <w:tmpl w:val="A10E088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55A67EBA"/>
    <w:multiLevelType w:val="hybridMultilevel"/>
    <w:tmpl w:val="D61A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BE1217"/>
    <w:multiLevelType w:val="hybridMultilevel"/>
    <w:tmpl w:val="3F864D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5E85C7C"/>
    <w:multiLevelType w:val="hybridMultilevel"/>
    <w:tmpl w:val="7E0C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1D37A7"/>
    <w:multiLevelType w:val="hybridMultilevel"/>
    <w:tmpl w:val="9E70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B02F9"/>
    <w:multiLevelType w:val="hybridMultilevel"/>
    <w:tmpl w:val="EE1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01F72"/>
    <w:multiLevelType w:val="hybridMultilevel"/>
    <w:tmpl w:val="0CB622D8"/>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62D422A4"/>
    <w:multiLevelType w:val="hybridMultilevel"/>
    <w:tmpl w:val="5B3225F0"/>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62FA5100"/>
    <w:multiLevelType w:val="hybridMultilevel"/>
    <w:tmpl w:val="E9D6404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64944114"/>
    <w:multiLevelType w:val="multilevel"/>
    <w:tmpl w:val="059A2D28"/>
    <w:lvl w:ilvl="0">
      <w:start w:val="1"/>
      <w:numFmt w:val="decimal"/>
      <w:lvlText w:val="%1."/>
      <w:lvlJc w:val="left"/>
      <w:pPr>
        <w:ind w:left="5180" w:hanging="360"/>
      </w:pPr>
      <w:rPr>
        <w:rFonts w:hint="default"/>
        <w:b w:val="0"/>
        <w:i w:val="0"/>
      </w:rPr>
    </w:lvl>
    <w:lvl w:ilvl="1">
      <w:start w:val="1"/>
      <w:numFmt w:val="decimal"/>
      <w:isLgl/>
      <w:lvlText w:val="%1.%2."/>
      <w:lvlJc w:val="left"/>
      <w:pPr>
        <w:ind w:left="5606" w:hanging="360"/>
      </w:pPr>
      <w:rPr>
        <w:rFonts w:hint="default"/>
        <w:b w:val="0"/>
      </w:rPr>
    </w:lvl>
    <w:lvl w:ilvl="2">
      <w:start w:val="1"/>
      <w:numFmt w:val="decimal"/>
      <w:isLgl/>
      <w:lvlText w:val="%1.%2.%3."/>
      <w:lvlJc w:val="left"/>
      <w:pPr>
        <w:ind w:left="6042" w:hanging="720"/>
      </w:pPr>
      <w:rPr>
        <w:rFonts w:hint="default"/>
        <w:b/>
      </w:rPr>
    </w:lvl>
    <w:lvl w:ilvl="3">
      <w:start w:val="1"/>
      <w:numFmt w:val="decimal"/>
      <w:isLgl/>
      <w:lvlText w:val="%1.%2.%3.%4."/>
      <w:lvlJc w:val="left"/>
      <w:pPr>
        <w:ind w:left="6042" w:hanging="720"/>
      </w:pPr>
      <w:rPr>
        <w:rFonts w:hint="default"/>
      </w:rPr>
    </w:lvl>
    <w:lvl w:ilvl="4">
      <w:start w:val="1"/>
      <w:numFmt w:val="decimal"/>
      <w:isLgl/>
      <w:lvlText w:val="%1.%2.%3.%4.%5."/>
      <w:lvlJc w:val="left"/>
      <w:pPr>
        <w:ind w:left="6402" w:hanging="1080"/>
      </w:pPr>
      <w:rPr>
        <w:rFonts w:hint="default"/>
      </w:rPr>
    </w:lvl>
    <w:lvl w:ilvl="5">
      <w:start w:val="1"/>
      <w:numFmt w:val="decimal"/>
      <w:isLgl/>
      <w:lvlText w:val="%1.%2.%3.%4.%5.%6."/>
      <w:lvlJc w:val="left"/>
      <w:pPr>
        <w:ind w:left="6402" w:hanging="1080"/>
      </w:pPr>
      <w:rPr>
        <w:rFonts w:hint="default"/>
      </w:rPr>
    </w:lvl>
    <w:lvl w:ilvl="6">
      <w:start w:val="1"/>
      <w:numFmt w:val="decimal"/>
      <w:isLgl/>
      <w:lvlText w:val="%1.%2.%3.%4.%5.%6.%7."/>
      <w:lvlJc w:val="left"/>
      <w:pPr>
        <w:ind w:left="6762" w:hanging="1440"/>
      </w:pPr>
      <w:rPr>
        <w:rFonts w:hint="default"/>
      </w:rPr>
    </w:lvl>
    <w:lvl w:ilvl="7">
      <w:start w:val="1"/>
      <w:numFmt w:val="decimal"/>
      <w:isLgl/>
      <w:lvlText w:val="%1.%2.%3.%4.%5.%6.%7.%8."/>
      <w:lvlJc w:val="left"/>
      <w:pPr>
        <w:ind w:left="6762" w:hanging="1440"/>
      </w:pPr>
      <w:rPr>
        <w:rFonts w:hint="default"/>
      </w:rPr>
    </w:lvl>
    <w:lvl w:ilvl="8">
      <w:start w:val="1"/>
      <w:numFmt w:val="decimal"/>
      <w:isLgl/>
      <w:lvlText w:val="%1.%2.%3.%4.%5.%6.%7.%8.%9."/>
      <w:lvlJc w:val="left"/>
      <w:pPr>
        <w:ind w:left="7122" w:hanging="1800"/>
      </w:pPr>
      <w:rPr>
        <w:rFonts w:hint="default"/>
      </w:rPr>
    </w:lvl>
  </w:abstractNum>
  <w:abstractNum w:abstractNumId="22">
    <w:nsid w:val="66AC1B98"/>
    <w:multiLevelType w:val="hybridMultilevel"/>
    <w:tmpl w:val="764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C2831"/>
    <w:multiLevelType w:val="hybridMultilevel"/>
    <w:tmpl w:val="682E096A"/>
    <w:lvl w:ilvl="0" w:tplc="9F586E86">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4">
    <w:nsid w:val="73706C10"/>
    <w:multiLevelType w:val="hybridMultilevel"/>
    <w:tmpl w:val="EC92648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75047C56"/>
    <w:multiLevelType w:val="multilevel"/>
    <w:tmpl w:val="713C6400"/>
    <w:lvl w:ilvl="0">
      <w:start w:val="1"/>
      <w:numFmt w:val="decimal"/>
      <w:lvlText w:val="%1."/>
      <w:lvlJc w:val="left"/>
      <w:pPr>
        <w:ind w:left="426" w:hanging="360"/>
      </w:pPr>
      <w:rPr>
        <w:rFonts w:ascii="Times New Roman" w:eastAsiaTheme="minorHAnsi" w:hAnsi="Times New Roman" w:cstheme="minorBidi"/>
        <w:b w:val="0"/>
      </w:rPr>
    </w:lvl>
    <w:lvl w:ilvl="1">
      <w:start w:val="1"/>
      <w:numFmt w:val="decimal"/>
      <w:isLgl/>
      <w:lvlText w:val="%1.%2."/>
      <w:lvlJc w:val="left"/>
      <w:pPr>
        <w:ind w:left="1070" w:hanging="36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730" w:hanging="1080"/>
      </w:pPr>
      <w:rPr>
        <w:rFonts w:hint="default"/>
      </w:rPr>
    </w:lvl>
    <w:lvl w:ilvl="5">
      <w:start w:val="1"/>
      <w:numFmt w:val="decimal"/>
      <w:isLgl/>
      <w:lvlText w:val="%1.%2.%3.%4.%5.%6."/>
      <w:lvlJc w:val="left"/>
      <w:pPr>
        <w:ind w:left="4376" w:hanging="1080"/>
      </w:pPr>
      <w:rPr>
        <w:rFonts w:hint="default"/>
      </w:rPr>
    </w:lvl>
    <w:lvl w:ilvl="6">
      <w:start w:val="1"/>
      <w:numFmt w:val="decimal"/>
      <w:isLgl/>
      <w:lvlText w:val="%1.%2.%3.%4.%5.%6.%7."/>
      <w:lvlJc w:val="left"/>
      <w:pPr>
        <w:ind w:left="5382" w:hanging="1440"/>
      </w:pPr>
      <w:rPr>
        <w:rFonts w:hint="default"/>
      </w:rPr>
    </w:lvl>
    <w:lvl w:ilvl="7">
      <w:start w:val="1"/>
      <w:numFmt w:val="decimal"/>
      <w:isLgl/>
      <w:lvlText w:val="%1.%2.%3.%4.%5.%6.%7.%8."/>
      <w:lvlJc w:val="left"/>
      <w:pPr>
        <w:ind w:left="6028" w:hanging="1440"/>
      </w:pPr>
      <w:rPr>
        <w:rFonts w:hint="default"/>
      </w:rPr>
    </w:lvl>
    <w:lvl w:ilvl="8">
      <w:start w:val="1"/>
      <w:numFmt w:val="decimal"/>
      <w:isLgl/>
      <w:lvlText w:val="%1.%2.%3.%4.%5.%6.%7.%8.%9."/>
      <w:lvlJc w:val="left"/>
      <w:pPr>
        <w:ind w:left="7034" w:hanging="1800"/>
      </w:pPr>
      <w:rPr>
        <w:rFonts w:hint="default"/>
      </w:rPr>
    </w:lvl>
  </w:abstractNum>
  <w:abstractNum w:abstractNumId="26">
    <w:nsid w:val="7851202A"/>
    <w:multiLevelType w:val="hybridMultilevel"/>
    <w:tmpl w:val="2B8852B0"/>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7">
    <w:nsid w:val="787500AF"/>
    <w:multiLevelType w:val="hybridMultilevel"/>
    <w:tmpl w:val="D45E9970"/>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8">
    <w:nsid w:val="7D3E1392"/>
    <w:multiLevelType w:val="hybridMultilevel"/>
    <w:tmpl w:val="5270E664"/>
    <w:lvl w:ilvl="0" w:tplc="D5D043B8">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3"/>
  </w:num>
  <w:num w:numId="5">
    <w:abstractNumId w:val="1"/>
  </w:num>
  <w:num w:numId="6">
    <w:abstractNumId w:val="11"/>
  </w:num>
  <w:num w:numId="7">
    <w:abstractNumId w:val="4"/>
  </w:num>
  <w:num w:numId="8">
    <w:abstractNumId w:val="26"/>
  </w:num>
  <w:num w:numId="9">
    <w:abstractNumId w:val="16"/>
  </w:num>
  <w:num w:numId="10">
    <w:abstractNumId w:val="22"/>
  </w:num>
  <w:num w:numId="11">
    <w:abstractNumId w:val="2"/>
  </w:num>
  <w:num w:numId="12">
    <w:abstractNumId w:val="7"/>
  </w:num>
  <w:num w:numId="13">
    <w:abstractNumId w:val="9"/>
  </w:num>
  <w:num w:numId="14">
    <w:abstractNumId w:val="5"/>
  </w:num>
  <w:num w:numId="15">
    <w:abstractNumId w:val="10"/>
  </w:num>
  <w:num w:numId="16">
    <w:abstractNumId w:val="18"/>
  </w:num>
  <w:num w:numId="17">
    <w:abstractNumId w:val="25"/>
  </w:num>
  <w:num w:numId="18">
    <w:abstractNumId w:val="12"/>
  </w:num>
  <w:num w:numId="19">
    <w:abstractNumId w:val="24"/>
  </w:num>
  <w:num w:numId="20">
    <w:abstractNumId w:val="8"/>
  </w:num>
  <w:num w:numId="21">
    <w:abstractNumId w:val="20"/>
  </w:num>
  <w:num w:numId="22">
    <w:abstractNumId w:val="19"/>
  </w:num>
  <w:num w:numId="23">
    <w:abstractNumId w:val="6"/>
  </w:num>
  <w:num w:numId="24">
    <w:abstractNumId w:val="3"/>
  </w:num>
  <w:num w:numId="25">
    <w:abstractNumId w:val="27"/>
  </w:num>
  <w:num w:numId="26">
    <w:abstractNumId w:val="23"/>
  </w:num>
  <w:num w:numId="27">
    <w:abstractNumId w:val="14"/>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8"/>
    <w:rsid w:val="000075C1"/>
    <w:rsid w:val="00010CAB"/>
    <w:rsid w:val="00013586"/>
    <w:rsid w:val="000158AB"/>
    <w:rsid w:val="0003023A"/>
    <w:rsid w:val="0003274B"/>
    <w:rsid w:val="00035DC5"/>
    <w:rsid w:val="00044757"/>
    <w:rsid w:val="00052495"/>
    <w:rsid w:val="0005317D"/>
    <w:rsid w:val="00055452"/>
    <w:rsid w:val="00070316"/>
    <w:rsid w:val="00087B84"/>
    <w:rsid w:val="000911EE"/>
    <w:rsid w:val="00091FEA"/>
    <w:rsid w:val="000A7D3A"/>
    <w:rsid w:val="000B6EAF"/>
    <w:rsid w:val="000C3A6E"/>
    <w:rsid w:val="000C5095"/>
    <w:rsid w:val="000C5AE8"/>
    <w:rsid w:val="000C72E0"/>
    <w:rsid w:val="000F436C"/>
    <w:rsid w:val="000F6A9F"/>
    <w:rsid w:val="001065FD"/>
    <w:rsid w:val="0011027B"/>
    <w:rsid w:val="00115E45"/>
    <w:rsid w:val="001219DC"/>
    <w:rsid w:val="0012555F"/>
    <w:rsid w:val="00162DE3"/>
    <w:rsid w:val="00170C05"/>
    <w:rsid w:val="00182D1A"/>
    <w:rsid w:val="001A33B9"/>
    <w:rsid w:val="001A7CC0"/>
    <w:rsid w:val="001C1CFC"/>
    <w:rsid w:val="001C4131"/>
    <w:rsid w:val="001C50CD"/>
    <w:rsid w:val="001F4BB6"/>
    <w:rsid w:val="001F6B57"/>
    <w:rsid w:val="00200D31"/>
    <w:rsid w:val="00201111"/>
    <w:rsid w:val="00211411"/>
    <w:rsid w:val="00217444"/>
    <w:rsid w:val="00224E18"/>
    <w:rsid w:val="00224FE7"/>
    <w:rsid w:val="00246CE9"/>
    <w:rsid w:val="002602B0"/>
    <w:rsid w:val="0026246B"/>
    <w:rsid w:val="002650B0"/>
    <w:rsid w:val="0026591B"/>
    <w:rsid w:val="002666E5"/>
    <w:rsid w:val="002705AF"/>
    <w:rsid w:val="00273AB6"/>
    <w:rsid w:val="002756BB"/>
    <w:rsid w:val="00285B36"/>
    <w:rsid w:val="00287192"/>
    <w:rsid w:val="002A5D2F"/>
    <w:rsid w:val="002A6CF9"/>
    <w:rsid w:val="002B108B"/>
    <w:rsid w:val="002B25EC"/>
    <w:rsid w:val="002B3122"/>
    <w:rsid w:val="002B5C57"/>
    <w:rsid w:val="002C0B88"/>
    <w:rsid w:val="002D07C4"/>
    <w:rsid w:val="002E61AE"/>
    <w:rsid w:val="002F505E"/>
    <w:rsid w:val="00304C33"/>
    <w:rsid w:val="0031406E"/>
    <w:rsid w:val="00316652"/>
    <w:rsid w:val="00317634"/>
    <w:rsid w:val="00317DAE"/>
    <w:rsid w:val="003237BB"/>
    <w:rsid w:val="00335C63"/>
    <w:rsid w:val="003445ED"/>
    <w:rsid w:val="0034494A"/>
    <w:rsid w:val="003534F5"/>
    <w:rsid w:val="003578B1"/>
    <w:rsid w:val="003716FD"/>
    <w:rsid w:val="003759A9"/>
    <w:rsid w:val="003764C2"/>
    <w:rsid w:val="003804C2"/>
    <w:rsid w:val="00385362"/>
    <w:rsid w:val="00397AEA"/>
    <w:rsid w:val="003A3656"/>
    <w:rsid w:val="003E6503"/>
    <w:rsid w:val="003E6718"/>
    <w:rsid w:val="003F1832"/>
    <w:rsid w:val="00400357"/>
    <w:rsid w:val="0041571A"/>
    <w:rsid w:val="00445743"/>
    <w:rsid w:val="004474A2"/>
    <w:rsid w:val="004535B0"/>
    <w:rsid w:val="0045465D"/>
    <w:rsid w:val="004560F5"/>
    <w:rsid w:val="00456361"/>
    <w:rsid w:val="00462612"/>
    <w:rsid w:val="00466DF6"/>
    <w:rsid w:val="00480455"/>
    <w:rsid w:val="00492258"/>
    <w:rsid w:val="00493C67"/>
    <w:rsid w:val="004A144E"/>
    <w:rsid w:val="004C57BC"/>
    <w:rsid w:val="004D0868"/>
    <w:rsid w:val="004E426E"/>
    <w:rsid w:val="004E505C"/>
    <w:rsid w:val="004E65B9"/>
    <w:rsid w:val="004F1ECC"/>
    <w:rsid w:val="004F3778"/>
    <w:rsid w:val="004F7C4F"/>
    <w:rsid w:val="005112E9"/>
    <w:rsid w:val="00513F24"/>
    <w:rsid w:val="005347A4"/>
    <w:rsid w:val="00542145"/>
    <w:rsid w:val="005449B9"/>
    <w:rsid w:val="00551FB0"/>
    <w:rsid w:val="005576D8"/>
    <w:rsid w:val="00561151"/>
    <w:rsid w:val="005726B1"/>
    <w:rsid w:val="005869EB"/>
    <w:rsid w:val="00586B3B"/>
    <w:rsid w:val="00590154"/>
    <w:rsid w:val="005A3D5D"/>
    <w:rsid w:val="005B1878"/>
    <w:rsid w:val="005B3F0B"/>
    <w:rsid w:val="005B6932"/>
    <w:rsid w:val="005B725A"/>
    <w:rsid w:val="005C02AA"/>
    <w:rsid w:val="005C02D7"/>
    <w:rsid w:val="005C4519"/>
    <w:rsid w:val="005C6143"/>
    <w:rsid w:val="005C70C7"/>
    <w:rsid w:val="005C7715"/>
    <w:rsid w:val="005E0E22"/>
    <w:rsid w:val="005E347D"/>
    <w:rsid w:val="005E3726"/>
    <w:rsid w:val="005F177E"/>
    <w:rsid w:val="00615753"/>
    <w:rsid w:val="00621664"/>
    <w:rsid w:val="0062453F"/>
    <w:rsid w:val="00626BB0"/>
    <w:rsid w:val="0063346B"/>
    <w:rsid w:val="00636566"/>
    <w:rsid w:val="00644F2A"/>
    <w:rsid w:val="00646AB8"/>
    <w:rsid w:val="006532E7"/>
    <w:rsid w:val="0065603C"/>
    <w:rsid w:val="006631E8"/>
    <w:rsid w:val="00666B4E"/>
    <w:rsid w:val="00684221"/>
    <w:rsid w:val="006B138A"/>
    <w:rsid w:val="006B1A3B"/>
    <w:rsid w:val="006B36F2"/>
    <w:rsid w:val="006C15CC"/>
    <w:rsid w:val="006C545F"/>
    <w:rsid w:val="006D11A1"/>
    <w:rsid w:val="006D3AAE"/>
    <w:rsid w:val="006E3599"/>
    <w:rsid w:val="006F3622"/>
    <w:rsid w:val="006F3ACE"/>
    <w:rsid w:val="00700FF9"/>
    <w:rsid w:val="007039FB"/>
    <w:rsid w:val="007044FB"/>
    <w:rsid w:val="0071439A"/>
    <w:rsid w:val="00715CE5"/>
    <w:rsid w:val="00766352"/>
    <w:rsid w:val="00767192"/>
    <w:rsid w:val="0077107A"/>
    <w:rsid w:val="00780C89"/>
    <w:rsid w:val="00787885"/>
    <w:rsid w:val="00793BD5"/>
    <w:rsid w:val="007940E5"/>
    <w:rsid w:val="007A22EF"/>
    <w:rsid w:val="007C0F97"/>
    <w:rsid w:val="007D4A6C"/>
    <w:rsid w:val="007F0438"/>
    <w:rsid w:val="00803C4D"/>
    <w:rsid w:val="00805926"/>
    <w:rsid w:val="0081691B"/>
    <w:rsid w:val="008212D3"/>
    <w:rsid w:val="008224B7"/>
    <w:rsid w:val="00831DAB"/>
    <w:rsid w:val="00835008"/>
    <w:rsid w:val="00844F10"/>
    <w:rsid w:val="008707C4"/>
    <w:rsid w:val="00871FEE"/>
    <w:rsid w:val="00875465"/>
    <w:rsid w:val="00877E2F"/>
    <w:rsid w:val="008813A2"/>
    <w:rsid w:val="00891689"/>
    <w:rsid w:val="00895722"/>
    <w:rsid w:val="008B4D51"/>
    <w:rsid w:val="008B5708"/>
    <w:rsid w:val="008C2B7C"/>
    <w:rsid w:val="008C53A1"/>
    <w:rsid w:val="008D7B85"/>
    <w:rsid w:val="008F084D"/>
    <w:rsid w:val="008F485B"/>
    <w:rsid w:val="00907C55"/>
    <w:rsid w:val="00910442"/>
    <w:rsid w:val="00912825"/>
    <w:rsid w:val="009274A9"/>
    <w:rsid w:val="0093573D"/>
    <w:rsid w:val="00937E9E"/>
    <w:rsid w:val="009400B9"/>
    <w:rsid w:val="0094041F"/>
    <w:rsid w:val="0095490C"/>
    <w:rsid w:val="00963FF0"/>
    <w:rsid w:val="0096550A"/>
    <w:rsid w:val="00972CA7"/>
    <w:rsid w:val="0097338C"/>
    <w:rsid w:val="00984474"/>
    <w:rsid w:val="00984871"/>
    <w:rsid w:val="0098751B"/>
    <w:rsid w:val="00995478"/>
    <w:rsid w:val="009B04BC"/>
    <w:rsid w:val="009B0662"/>
    <w:rsid w:val="009B37C7"/>
    <w:rsid w:val="009B685A"/>
    <w:rsid w:val="009D1F53"/>
    <w:rsid w:val="009D44D8"/>
    <w:rsid w:val="009D6CA8"/>
    <w:rsid w:val="009D7988"/>
    <w:rsid w:val="009D79EB"/>
    <w:rsid w:val="009E4B57"/>
    <w:rsid w:val="009E60E7"/>
    <w:rsid w:val="00A030F6"/>
    <w:rsid w:val="00A0671B"/>
    <w:rsid w:val="00A12819"/>
    <w:rsid w:val="00A14A06"/>
    <w:rsid w:val="00A16915"/>
    <w:rsid w:val="00A17F89"/>
    <w:rsid w:val="00A23D11"/>
    <w:rsid w:val="00A3112C"/>
    <w:rsid w:val="00A40E19"/>
    <w:rsid w:val="00A46221"/>
    <w:rsid w:val="00A621A6"/>
    <w:rsid w:val="00A623D7"/>
    <w:rsid w:val="00A63373"/>
    <w:rsid w:val="00A6574E"/>
    <w:rsid w:val="00A65ACA"/>
    <w:rsid w:val="00A672D0"/>
    <w:rsid w:val="00A67787"/>
    <w:rsid w:val="00A74E2E"/>
    <w:rsid w:val="00A81D56"/>
    <w:rsid w:val="00A83FD2"/>
    <w:rsid w:val="00A92F09"/>
    <w:rsid w:val="00A9430B"/>
    <w:rsid w:val="00AA6B90"/>
    <w:rsid w:val="00AB3899"/>
    <w:rsid w:val="00AB572E"/>
    <w:rsid w:val="00AC256D"/>
    <w:rsid w:val="00AF5BF1"/>
    <w:rsid w:val="00B13599"/>
    <w:rsid w:val="00B30058"/>
    <w:rsid w:val="00B40031"/>
    <w:rsid w:val="00B6026F"/>
    <w:rsid w:val="00B671AF"/>
    <w:rsid w:val="00B81FEC"/>
    <w:rsid w:val="00B85D03"/>
    <w:rsid w:val="00B860A1"/>
    <w:rsid w:val="00B92F29"/>
    <w:rsid w:val="00B96D7A"/>
    <w:rsid w:val="00BD3D8D"/>
    <w:rsid w:val="00BE126E"/>
    <w:rsid w:val="00BF49DD"/>
    <w:rsid w:val="00BF56FA"/>
    <w:rsid w:val="00BF69E6"/>
    <w:rsid w:val="00C00B74"/>
    <w:rsid w:val="00C05026"/>
    <w:rsid w:val="00C104E7"/>
    <w:rsid w:val="00C23D57"/>
    <w:rsid w:val="00C46879"/>
    <w:rsid w:val="00C632BE"/>
    <w:rsid w:val="00C632FA"/>
    <w:rsid w:val="00C80E48"/>
    <w:rsid w:val="00CF1A62"/>
    <w:rsid w:val="00D041D9"/>
    <w:rsid w:val="00D108D8"/>
    <w:rsid w:val="00D10EDE"/>
    <w:rsid w:val="00D128ED"/>
    <w:rsid w:val="00D17231"/>
    <w:rsid w:val="00D21C0B"/>
    <w:rsid w:val="00D21E30"/>
    <w:rsid w:val="00D3534E"/>
    <w:rsid w:val="00D44B82"/>
    <w:rsid w:val="00D45026"/>
    <w:rsid w:val="00D45BE0"/>
    <w:rsid w:val="00D50981"/>
    <w:rsid w:val="00D51871"/>
    <w:rsid w:val="00D54A31"/>
    <w:rsid w:val="00D54B55"/>
    <w:rsid w:val="00D60C33"/>
    <w:rsid w:val="00D63397"/>
    <w:rsid w:val="00D63C09"/>
    <w:rsid w:val="00D7215B"/>
    <w:rsid w:val="00D75DEC"/>
    <w:rsid w:val="00D768AB"/>
    <w:rsid w:val="00D8657A"/>
    <w:rsid w:val="00D907AF"/>
    <w:rsid w:val="00DA654B"/>
    <w:rsid w:val="00DA6563"/>
    <w:rsid w:val="00DC0948"/>
    <w:rsid w:val="00DC45E5"/>
    <w:rsid w:val="00DD1585"/>
    <w:rsid w:val="00DD2376"/>
    <w:rsid w:val="00DD7449"/>
    <w:rsid w:val="00DE4145"/>
    <w:rsid w:val="00E06CBA"/>
    <w:rsid w:val="00E1050B"/>
    <w:rsid w:val="00E132FF"/>
    <w:rsid w:val="00E164D7"/>
    <w:rsid w:val="00E26CDA"/>
    <w:rsid w:val="00E33018"/>
    <w:rsid w:val="00E366EB"/>
    <w:rsid w:val="00E748BA"/>
    <w:rsid w:val="00E7798F"/>
    <w:rsid w:val="00E85737"/>
    <w:rsid w:val="00E85D87"/>
    <w:rsid w:val="00E87242"/>
    <w:rsid w:val="00E96AF2"/>
    <w:rsid w:val="00EA16F4"/>
    <w:rsid w:val="00EA51E8"/>
    <w:rsid w:val="00EB148F"/>
    <w:rsid w:val="00EC671E"/>
    <w:rsid w:val="00ED6A5C"/>
    <w:rsid w:val="00EE3646"/>
    <w:rsid w:val="00EF2A6D"/>
    <w:rsid w:val="00F0582A"/>
    <w:rsid w:val="00F068D6"/>
    <w:rsid w:val="00F10A5B"/>
    <w:rsid w:val="00F145A9"/>
    <w:rsid w:val="00F36354"/>
    <w:rsid w:val="00F368C4"/>
    <w:rsid w:val="00F433EC"/>
    <w:rsid w:val="00F553B0"/>
    <w:rsid w:val="00F60E74"/>
    <w:rsid w:val="00F6643F"/>
    <w:rsid w:val="00F74787"/>
    <w:rsid w:val="00F769C1"/>
    <w:rsid w:val="00F7735C"/>
    <w:rsid w:val="00F77E9F"/>
    <w:rsid w:val="00F85AC3"/>
    <w:rsid w:val="00F92E84"/>
    <w:rsid w:val="00FA0080"/>
    <w:rsid w:val="00FA1141"/>
    <w:rsid w:val="00FA7F74"/>
    <w:rsid w:val="00FB413A"/>
    <w:rsid w:val="00FB4E69"/>
    <w:rsid w:val="00FB5842"/>
    <w:rsid w:val="00FD413C"/>
    <w:rsid w:val="00FD70E2"/>
    <w:rsid w:val="00FE21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2738"/>
  <w15:chartTrackingRefBased/>
  <w15:docId w15:val="{14F53B48-DDC9-4A49-835B-8E66B64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EB"/>
    <w:pPr>
      <w:ind w:left="720"/>
      <w:contextualSpacing/>
    </w:pPr>
  </w:style>
  <w:style w:type="character" w:styleId="CommentReference">
    <w:name w:val="annotation reference"/>
    <w:basedOn w:val="DefaultParagraphFont"/>
    <w:uiPriority w:val="99"/>
    <w:semiHidden/>
    <w:unhideWhenUsed/>
    <w:rsid w:val="002A5D2F"/>
    <w:rPr>
      <w:sz w:val="16"/>
      <w:szCs w:val="16"/>
    </w:rPr>
  </w:style>
  <w:style w:type="paragraph" w:styleId="CommentText">
    <w:name w:val="annotation text"/>
    <w:basedOn w:val="Normal"/>
    <w:link w:val="CommentTextChar"/>
    <w:uiPriority w:val="99"/>
    <w:semiHidden/>
    <w:unhideWhenUsed/>
    <w:rsid w:val="002A5D2F"/>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2A5D2F"/>
    <w:rPr>
      <w:rFonts w:asciiTheme="minorHAnsi" w:hAnsiTheme="minorHAnsi"/>
      <w:sz w:val="20"/>
      <w:szCs w:val="20"/>
      <w:lang w:val="en-US"/>
    </w:rPr>
  </w:style>
  <w:style w:type="character" w:styleId="Hyperlink">
    <w:name w:val="Hyperlink"/>
    <w:basedOn w:val="DefaultParagraphFont"/>
    <w:uiPriority w:val="99"/>
    <w:unhideWhenUsed/>
    <w:rsid w:val="002A5D2F"/>
    <w:rPr>
      <w:color w:val="0563C1" w:themeColor="hyperlink"/>
      <w:u w:val="single"/>
    </w:rPr>
  </w:style>
  <w:style w:type="paragraph" w:styleId="BalloonText">
    <w:name w:val="Balloon Text"/>
    <w:basedOn w:val="Normal"/>
    <w:link w:val="BalloonTextChar"/>
    <w:uiPriority w:val="99"/>
    <w:semiHidden/>
    <w:unhideWhenUsed/>
    <w:rsid w:val="002A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2F"/>
    <w:rPr>
      <w:rFonts w:ascii="Segoe UI" w:hAnsi="Segoe UI" w:cs="Segoe UI"/>
      <w:sz w:val="18"/>
      <w:szCs w:val="18"/>
    </w:rPr>
  </w:style>
  <w:style w:type="table" w:styleId="TableGrid">
    <w:name w:val="Table Grid"/>
    <w:basedOn w:val="TableNormal"/>
    <w:uiPriority w:val="39"/>
    <w:rsid w:val="002A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F1832"/>
    <w:rPr>
      <w:rFonts w:ascii="Times New Roman" w:hAnsi="Times New Roman"/>
      <w:b/>
      <w:bCs/>
      <w:lang w:val="bg-BG"/>
    </w:rPr>
  </w:style>
  <w:style w:type="character" w:customStyle="1" w:styleId="CommentSubjectChar">
    <w:name w:val="Comment Subject Char"/>
    <w:basedOn w:val="CommentTextChar"/>
    <w:link w:val="CommentSubject"/>
    <w:uiPriority w:val="99"/>
    <w:semiHidden/>
    <w:rsid w:val="003F1832"/>
    <w:rPr>
      <w:rFonts w:asciiTheme="minorHAnsi" w:hAnsiTheme="minorHAnsi"/>
      <w:b/>
      <w:bCs/>
      <w:sz w:val="20"/>
      <w:szCs w:val="20"/>
      <w:lang w:val="en-US"/>
    </w:rPr>
  </w:style>
  <w:style w:type="paragraph" w:styleId="Header">
    <w:name w:val="header"/>
    <w:basedOn w:val="Normal"/>
    <w:link w:val="HeaderChar"/>
    <w:uiPriority w:val="99"/>
    <w:unhideWhenUsed/>
    <w:rsid w:val="002B1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08B"/>
  </w:style>
  <w:style w:type="paragraph" w:styleId="Footer">
    <w:name w:val="footer"/>
    <w:basedOn w:val="Normal"/>
    <w:link w:val="FooterChar"/>
    <w:uiPriority w:val="99"/>
    <w:unhideWhenUsed/>
    <w:rsid w:val="002B1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7F0C-F60F-4548-96B5-2C005E1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 Boncheva</dc:creator>
  <cp:keywords/>
  <dc:description/>
  <cp:lastModifiedBy>Nedyalka V. Ivanova</cp:lastModifiedBy>
  <cp:revision>2</cp:revision>
  <cp:lastPrinted>2021-01-29T09:26:00Z</cp:lastPrinted>
  <dcterms:created xsi:type="dcterms:W3CDTF">2021-04-29T05:54:00Z</dcterms:created>
  <dcterms:modified xsi:type="dcterms:W3CDTF">2021-04-29T05:54:00Z</dcterms:modified>
</cp:coreProperties>
</file>