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67" w:rsidRDefault="00F36D1A">
      <w:pPr>
        <w:spacing w:after="0" w:line="240" w:lineRule="auto"/>
        <w:ind w:left="11328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ПРИЛОЖЕНИЕ №2</w:t>
      </w:r>
    </w:p>
    <w:p w:rsidR="00680367" w:rsidRPr="006674E3" w:rsidRDefault="00AE6CB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674E3">
        <w:rPr>
          <w:rFonts w:cstheme="minorHAnsi"/>
          <w:b/>
          <w:sz w:val="32"/>
          <w:szCs w:val="32"/>
        </w:rPr>
        <w:t>ПРОЦЕДУРА ПО ПРОВЕРКА НА ИЗИСКВАНИЯ КЪМ ХАРДУЕРНАТА КОНФИГУРАЦИЯ НА УСТРОЙСТВАТА</w:t>
      </w:r>
    </w:p>
    <w:p w:rsidR="00680367" w:rsidRPr="006674E3" w:rsidRDefault="0068036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680367" w:rsidRPr="006674E3" w:rsidRDefault="0068036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459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142"/>
        <w:gridCol w:w="4195"/>
        <w:gridCol w:w="1654"/>
        <w:gridCol w:w="1607"/>
      </w:tblGrid>
      <w:tr w:rsidR="00680367" w:rsidRPr="006674E3">
        <w:trPr>
          <w:trHeight w:val="1174"/>
        </w:trPr>
        <w:tc>
          <w:tcPr>
            <w:tcW w:w="1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Изисквания към хардуерната конфигурация на устройствата  / Корпус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Компонент: Корпус</w:t>
            </w:r>
          </w:p>
          <w:p w:rsidR="00680367" w:rsidRPr="006674E3" w:rsidRDefault="00F36D1A" w:rsidP="00AE6C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Минимални параметри: Компонентите на устройството за</w:t>
            </w:r>
            <w:r w:rsidR="002238A2" w:rsidRPr="006674E3">
              <w:rPr>
                <w:rFonts w:cstheme="minorHAnsi"/>
                <w:sz w:val="24"/>
                <w:szCs w:val="24"/>
              </w:rPr>
              <w:t xml:space="preserve"> </w:t>
            </w:r>
            <w:r w:rsidRPr="006674E3">
              <w:rPr>
                <w:rFonts w:cstheme="minorHAnsi"/>
                <w:sz w:val="24"/>
                <w:szCs w:val="24"/>
              </w:rPr>
              <w:t xml:space="preserve"> машинно гласуване трябва да бъдат разположени в монолитен защитен корпус, чрез който да се възпрепятства директния достъп до комуникационните интерфейси</w:t>
            </w:r>
          </w:p>
        </w:tc>
      </w:tr>
      <w:tr w:rsidR="00680367" w:rsidRPr="006674E3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367" w:rsidRPr="006674E3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</w:t>
            </w:r>
            <w:r w:rsidR="00F42DFE">
              <w:rPr>
                <w:b/>
                <w:sz w:val="24"/>
                <w:szCs w:val="24"/>
              </w:rPr>
              <w:t>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680367" w:rsidRPr="006674E3">
        <w:trPr>
          <w:trHeight w:val="499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1.1 Проверка на интеграцията и защитата на основните компоненти на ТУМГ в  корпуса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Визуална проверка на конструктивното изпълнение на корпуса на ТУМГ и разположението на компонентите -  обработващи компоненти, принтер и  отделение за ролка за хартия, сензорен екран, четец на </w:t>
            </w:r>
            <w:proofErr w:type="spellStart"/>
            <w:r w:rsidRPr="006674E3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</w:t>
            </w:r>
            <w:r w:rsidRPr="006674E3">
              <w:rPr>
                <w:rFonts w:cstheme="minorHAnsi"/>
              </w:rPr>
              <w:t>карти и USB комуникационни интерфейси.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sz w:val="24"/>
                <w:szCs w:val="24"/>
              </w:rPr>
              <w:t>Проверка за наличие на неидентифицирани или неописани в документацията компоненти.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br/>
            </w:r>
            <w:r w:rsidRPr="006674E3">
              <w:rPr>
                <w:rFonts w:cstheme="minorHAnsi"/>
                <w:b/>
              </w:rPr>
              <w:t xml:space="preserve">       Предпоставки:</w:t>
            </w:r>
          </w:p>
          <w:p w:rsidR="00680367" w:rsidRPr="006674E3" w:rsidRDefault="00F36D1A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>ТУМГ е монтирана така, както ще се постави в избирателната</w:t>
            </w:r>
            <w:r w:rsidRPr="006674E3">
              <w:rPr>
                <w:rFonts w:cstheme="minorHAnsi"/>
                <w:sz w:val="24"/>
                <w:szCs w:val="24"/>
              </w:rPr>
              <w:t xml:space="preserve"> секция</w:t>
            </w:r>
            <w:r w:rsidR="0061573E">
              <w:rPr>
                <w:rFonts w:cstheme="minorHAnsi"/>
                <w:sz w:val="24"/>
                <w:szCs w:val="24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в</w:t>
            </w:r>
            <w:r w:rsidR="00F36D1A" w:rsidRPr="006674E3">
              <w:rPr>
                <w:rFonts w:cstheme="minorHAnsi"/>
              </w:rPr>
              <w:t>изуалната проверка се извършва при отворена/частично отворена ТУМГ</w:t>
            </w:r>
            <w:r w:rsidR="0061573E">
              <w:rPr>
                <w:rFonts w:cstheme="minorHAnsi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 xml:space="preserve">ТУМГ е едно устройство, което интегрира в монолитен корпус всички критични компоненти, като отделение за принтер и ролка за хартия, сензорен дисплей, четец на </w:t>
            </w:r>
            <w:proofErr w:type="spellStart"/>
            <w:r w:rsidRPr="006674E3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</w:t>
            </w:r>
            <w:r w:rsidRPr="006674E3">
              <w:rPr>
                <w:rFonts w:cstheme="minorHAnsi"/>
              </w:rPr>
              <w:t xml:space="preserve">карти и USB </w:t>
            </w:r>
            <w:r w:rsidR="002238A2" w:rsidRPr="006674E3">
              <w:rPr>
                <w:rFonts w:cstheme="minorHAnsi"/>
              </w:rPr>
              <w:t xml:space="preserve">комуникационни </w:t>
            </w:r>
            <w:r w:rsidRPr="006674E3">
              <w:rPr>
                <w:rFonts w:cstheme="minorHAnsi"/>
              </w:rPr>
              <w:t>интерфейси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 xml:space="preserve">яма незащитени хардуерни </w:t>
            </w:r>
            <w:r w:rsidR="002238A2" w:rsidRPr="006674E3">
              <w:rPr>
                <w:rFonts w:cstheme="minorHAnsi"/>
              </w:rPr>
              <w:t xml:space="preserve">комуникационни </w:t>
            </w:r>
            <w:r w:rsidR="00F36D1A" w:rsidRPr="006674E3">
              <w:rPr>
                <w:rFonts w:cstheme="minorHAnsi"/>
              </w:rPr>
              <w:t xml:space="preserve">интерфейси, външен принтер, външен четец на </w:t>
            </w:r>
            <w:proofErr w:type="spellStart"/>
            <w:r w:rsidR="00F36D1A" w:rsidRPr="006674E3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</w:t>
            </w:r>
            <w:r w:rsidR="00F36D1A" w:rsidRPr="006674E3">
              <w:rPr>
                <w:rFonts w:cstheme="minorHAnsi"/>
              </w:rPr>
              <w:t>карти или монитор за компютър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>яма</w:t>
            </w:r>
            <w:r w:rsidR="00F36D1A" w:rsidRPr="006674E3">
              <w:t xml:space="preserve"> налични неидентифицирани или неописани в документацията компоненти</w:t>
            </w:r>
            <w:r w:rsidR="0061573E"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367" w:rsidRPr="006674E3">
        <w:trPr>
          <w:trHeight w:val="36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lastRenderedPageBreak/>
              <w:t xml:space="preserve">1.2 Проверка на разположението и защитата от достъп на </w:t>
            </w:r>
            <w:r w:rsidR="00C97ED3" w:rsidRPr="006674E3">
              <w:rPr>
                <w:rFonts w:cstheme="minorHAnsi"/>
                <w:b/>
              </w:rPr>
              <w:t xml:space="preserve">комуникационния интерфейс </w:t>
            </w:r>
            <w:r w:rsidRPr="006674E3">
              <w:rPr>
                <w:rFonts w:cstheme="minorHAnsi"/>
                <w:b/>
              </w:rPr>
              <w:t xml:space="preserve"> за контролната памет и смяната на хартията на ТУМГ 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</w:rPr>
            </w:pPr>
          </w:p>
          <w:p w:rsidR="00680367" w:rsidRPr="006674E3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  <w:b/>
              </w:rPr>
            </w:pPr>
            <w:r w:rsidRPr="006674E3">
              <w:rPr>
                <w:rFonts w:cstheme="minorHAnsi"/>
              </w:rPr>
              <w:t xml:space="preserve">Визуална проверка на всички налични </w:t>
            </w:r>
            <w:r w:rsidR="002238A2" w:rsidRPr="006674E3">
              <w:rPr>
                <w:rFonts w:cstheme="minorHAnsi"/>
              </w:rPr>
              <w:t xml:space="preserve">комуникационни интерфейси </w:t>
            </w:r>
            <w:r w:rsidRPr="006674E3">
              <w:rPr>
                <w:rFonts w:cstheme="minorHAnsi"/>
              </w:rPr>
              <w:t>и начините на в</w:t>
            </w:r>
            <w:r w:rsidRPr="006674E3">
              <w:t xml:space="preserve">ъзпрепятстване на директен достъп </w:t>
            </w:r>
            <w:r w:rsidRPr="006674E3">
              <w:rPr>
                <w:rFonts w:cstheme="minorHAnsi"/>
              </w:rPr>
              <w:t>до тях, възможности за заключване или поставяне на стикер.</w:t>
            </w:r>
          </w:p>
          <w:p w:rsidR="00680367" w:rsidRPr="006674E3" w:rsidRDefault="00F36D1A">
            <w:pPr>
              <w:pStyle w:val="ListParagraph"/>
              <w:numPr>
                <w:ilvl w:val="3"/>
                <w:numId w:val="1"/>
              </w:num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  <w:b/>
              </w:rPr>
            </w:pPr>
            <w:r w:rsidRPr="006674E3">
              <w:rPr>
                <w:rFonts w:cstheme="minorHAnsi"/>
              </w:rPr>
              <w:t>Визуална проверка на начина на достъп до смяна на хартията на принтера и начините на възпрепятстване на достъпа.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 xml:space="preserve">      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426"/>
              <w:rPr>
                <w:rFonts w:cstheme="minorHAnsi"/>
                <w:b/>
              </w:rPr>
            </w:pPr>
            <w:r w:rsidRPr="006674E3">
              <w:rPr>
                <w:rFonts w:cstheme="minorHAnsi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61573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F36D1A" w:rsidRPr="006674E3">
              <w:rPr>
                <w:rFonts w:cstheme="minorHAnsi"/>
              </w:rPr>
              <w:t xml:space="preserve">сички налични </w:t>
            </w:r>
            <w:r w:rsidR="002238A2" w:rsidRPr="006674E3">
              <w:rPr>
                <w:rFonts w:cstheme="minorHAnsi"/>
              </w:rPr>
              <w:t xml:space="preserve">комуникационни интерфейси </w:t>
            </w:r>
            <w:r w:rsidR="00F36D1A" w:rsidRPr="006674E3">
              <w:rPr>
                <w:rFonts w:cstheme="minorHAnsi"/>
              </w:rPr>
              <w:t>на ТУМГ се намират в отделения, осигуряващи сигурно заключване или ограничаване на достъпа чрез сигурен стикер</w:t>
            </w:r>
            <w:r w:rsidR="0061573E">
              <w:rPr>
                <w:rFonts w:cstheme="minorHAnsi"/>
              </w:rPr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д</w:t>
            </w:r>
            <w:r w:rsidR="00F36D1A" w:rsidRPr="006674E3">
              <w:rPr>
                <w:rFonts w:cstheme="minorHAnsi"/>
              </w:rPr>
              <w:t>остъпът до смяна на хартията на принтера е защитен чрез сигурно заключване или сигурен стикер.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367" w:rsidRPr="006674E3">
        <w:trPr>
          <w:trHeight w:val="36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lastRenderedPageBreak/>
              <w:t>1.3 Проверка за спазване изискванията на Закона за техническите изисквания към продуктите и за наличието на процедури за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съхранение, транспорт и разделно събиране и рециклиране на устройството.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b/>
              </w:rPr>
            </w:pP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Върху корпуса на всяко ТУМГ трябва да има трайно закрепена и четлива уникална оригинална маркировка най-малко със следните данни: производител, производствен номер, година на производство. Маркировката трябва да позволява еднозначно идентифициране на вида/типа/модификацията на устройството съгласно спецификацията на Производителя.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 трябва да отговарят на изискванията на Наредбата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- Приета с ПМС № 47 от 15.03.2016 г. (</w:t>
            </w:r>
            <w:proofErr w:type="spellStart"/>
            <w:r w:rsidRPr="006674E3">
              <w:rPr>
                <w:rFonts w:cstheme="minorHAnsi"/>
              </w:rPr>
              <w:t>Обн</w:t>
            </w:r>
            <w:proofErr w:type="spellEnd"/>
            <w:r w:rsidRPr="006674E3">
              <w:rPr>
                <w:rFonts w:cstheme="minorHAnsi"/>
              </w:rPr>
              <w:t>. ДВ. бр.23 от 25 Март 2016г., изм. ДВ. бр.32 от 22 Април 2016г., в сила от 20.04.2016 г.) и Наредба за съществените изисквания и оценяване на съответствието  за електромагнитна съвместимост (</w:t>
            </w:r>
            <w:proofErr w:type="spellStart"/>
            <w:r w:rsidRPr="006674E3">
              <w:rPr>
                <w:rFonts w:cstheme="minorHAnsi"/>
              </w:rPr>
              <w:t>Обн</w:t>
            </w:r>
            <w:proofErr w:type="spellEnd"/>
            <w:r w:rsidRPr="006674E3">
              <w:rPr>
                <w:rFonts w:cstheme="minorHAnsi"/>
              </w:rPr>
              <w:t>. ДВ. бр.23 от 25 Март 2016г.)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 трябва да отговарят на изискванията на</w:t>
            </w:r>
            <w:r w:rsidRPr="006674E3">
              <w:t xml:space="preserve"> 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ПМС № 55 от 06.03.2013 г.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 трябва да отговарят на изискванията на</w:t>
            </w:r>
            <w:r w:rsidRPr="006674E3">
              <w:t xml:space="preserve"> </w:t>
            </w:r>
            <w:r w:rsidRPr="006674E3">
              <w:rPr>
                <w:rFonts w:cstheme="minorHAnsi"/>
              </w:rPr>
              <w:t>Наредбата за излязлото от употреба електрическо и електронно оборудване - приета с ПМС № 256 от 13.11.2013 г., (</w:t>
            </w:r>
            <w:proofErr w:type="spellStart"/>
            <w:r w:rsidRPr="006674E3">
              <w:rPr>
                <w:rFonts w:cstheme="minorHAnsi"/>
              </w:rPr>
              <w:t>обн</w:t>
            </w:r>
            <w:proofErr w:type="spellEnd"/>
            <w:r w:rsidRPr="006674E3">
              <w:rPr>
                <w:rFonts w:cstheme="minorHAnsi"/>
              </w:rPr>
              <w:t>., ДВ, бр. 100 от 19.11.2013 г., в сила от 01.01.2014 г. Изм. ДВ. бр.30 от 15 Април 2016</w:t>
            </w:r>
            <w:r w:rsidR="0061573E">
              <w:rPr>
                <w:rFonts w:cstheme="minorHAnsi"/>
              </w:rPr>
              <w:t xml:space="preserve"> </w:t>
            </w:r>
            <w:r w:rsidRPr="006674E3">
              <w:rPr>
                <w:rFonts w:cstheme="minorHAnsi"/>
              </w:rPr>
              <w:t>г.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Проверка за наличие на процедури на Производителя за</w:t>
            </w:r>
            <w:r w:rsidRPr="006674E3">
              <w:t xml:space="preserve"> </w:t>
            </w:r>
            <w:r w:rsidRPr="006674E3">
              <w:rPr>
                <w:rFonts w:cstheme="minorHAnsi"/>
              </w:rPr>
              <w:t>съхранение и транспорт на ТУМГ</w:t>
            </w:r>
            <w:r w:rsidR="0061573E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F36D1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Проверка за наличие на сертификати за указване на специфични изисквания към околната среда при експлоатация на ТУМГ</w:t>
            </w:r>
            <w:r w:rsidR="0061573E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pStyle w:val="ListParagraph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</w:t>
            </w:r>
            <w:r w:rsidR="0007123A">
              <w:rPr>
                <w:rFonts w:cstheme="minorHAnsi"/>
              </w:rPr>
              <w:t xml:space="preserve"> Изпълнителя;</w:t>
            </w:r>
            <w:r w:rsidRPr="006674E3">
              <w:rPr>
                <w:rFonts w:cstheme="minorHAnsi"/>
              </w:rPr>
              <w:t xml:space="preserve"> 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t>ТУМГ е монтирана така, както ще се постави в избирателната секция</w:t>
            </w:r>
            <w:r w:rsidR="0007123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>аличие на трайно закрепена и четлива уникална оригинална маркировка с необходимата информация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>аличие на декларация за съответствие съгласно Наредба 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 или протоколи от изпитвания, издадени от акредитирани лаборатории и маркировка съгласно Наредба за маркировката за съответствие (</w:t>
            </w:r>
            <w:proofErr w:type="spellStart"/>
            <w:r w:rsidR="00F36D1A" w:rsidRPr="006674E3">
              <w:rPr>
                <w:rFonts w:cstheme="minorHAnsi"/>
              </w:rPr>
              <w:t>Обн</w:t>
            </w:r>
            <w:proofErr w:type="spellEnd"/>
            <w:r w:rsidR="00F36D1A" w:rsidRPr="006674E3">
              <w:rPr>
                <w:rFonts w:cstheme="minorHAnsi"/>
              </w:rPr>
              <w:t>. ДВ. бр.69 от 23.08.2005г.)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 xml:space="preserve">аличие на декларация за съответствие и маркировка в  съответствие с Наредбата за условията и реда за пускане на пазара на електрическо и електронно оборудване във връзка с ограниченията за употреба на </w:t>
            </w:r>
            <w:r w:rsidR="00F36D1A" w:rsidRPr="006674E3">
              <w:rPr>
                <w:rFonts w:cstheme="minorHAnsi"/>
              </w:rPr>
              <w:lastRenderedPageBreak/>
              <w:t>определени опасни вещества, приета с ПМС № 55 от 06.03.2013 г.</w:t>
            </w:r>
            <w:r w:rsidR="0061573E">
              <w:rPr>
                <w:rFonts w:cstheme="minorHAnsi"/>
              </w:rPr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>аличие на маркировка със символ за маркиране на електрическо и електронно оборудван</w:t>
            </w:r>
            <w:r w:rsidR="0007123A">
              <w:rPr>
                <w:rFonts w:cstheme="minorHAnsi"/>
              </w:rPr>
              <w:t>е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>аличие на процедури, осигуряващи работоспособността на ТУМГ след съхранение и транспорт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 xml:space="preserve">аличие на сертификати за удостоверяване на работоспособността на ТУМГ по отношение на температурен диапазон на използване, относителна влажност, допустими вибрации, </w:t>
            </w:r>
            <w:proofErr w:type="spellStart"/>
            <w:r w:rsidR="00F36D1A" w:rsidRPr="006674E3">
              <w:rPr>
                <w:rFonts w:cstheme="minorHAnsi"/>
              </w:rPr>
              <w:t>влаго</w:t>
            </w:r>
            <w:proofErr w:type="spellEnd"/>
            <w:r w:rsidR="007C487B">
              <w:rPr>
                <w:rFonts w:cstheme="minorHAnsi"/>
              </w:rPr>
              <w:t>-</w:t>
            </w:r>
            <w:r w:rsidR="00F36D1A" w:rsidRPr="006674E3">
              <w:rPr>
                <w:rFonts w:cstheme="minorHAnsi"/>
              </w:rPr>
              <w:t xml:space="preserve"> и </w:t>
            </w:r>
            <w:proofErr w:type="spellStart"/>
            <w:r w:rsidR="00F36D1A" w:rsidRPr="006674E3">
              <w:rPr>
                <w:rFonts w:cstheme="minorHAnsi"/>
              </w:rPr>
              <w:t>прахо</w:t>
            </w:r>
            <w:proofErr w:type="spellEnd"/>
            <w:r w:rsidR="00F36D1A" w:rsidRPr="006674E3">
              <w:rPr>
                <w:rFonts w:cstheme="minorHAnsi"/>
              </w:rPr>
              <w:t>-защитеност и други приложими документи</w:t>
            </w:r>
            <w:r w:rsidR="0061573E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367" w:rsidRPr="006674E3">
        <w:trPr>
          <w:trHeight w:val="791"/>
        </w:trPr>
        <w:tc>
          <w:tcPr>
            <w:tcW w:w="1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2.Изисквания към хардуерната конфигурация на устройствата  / Компоненти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="00F96967" w:rsidRPr="006674E3">
              <w:rPr>
                <w:rFonts w:cstheme="minorHAnsi"/>
                <w:sz w:val="24"/>
                <w:szCs w:val="24"/>
              </w:rPr>
              <w:t>Ц</w:t>
            </w:r>
            <w:r w:rsidRPr="006674E3">
              <w:rPr>
                <w:rFonts w:cstheme="minorHAnsi"/>
                <w:sz w:val="24"/>
                <w:szCs w:val="24"/>
              </w:rPr>
              <w:t>ентрален процесор</w:t>
            </w:r>
          </w:p>
          <w:p w:rsidR="00680367" w:rsidRPr="006674E3" w:rsidRDefault="00F36D1A" w:rsidP="006157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Минимални параметри:</w:t>
            </w:r>
            <w:r w:rsidRPr="006674E3">
              <w:t xml:space="preserve"> в</w:t>
            </w:r>
            <w:r w:rsidRPr="006674E3">
              <w:rPr>
                <w:rFonts w:cstheme="minorHAnsi"/>
                <w:sz w:val="24"/>
                <w:szCs w:val="24"/>
              </w:rPr>
              <w:t xml:space="preserve"> съответствие с минималните изисквания на използваната операционна система и софтуер за ТУМГ, минимална тактова честота 1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GHz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>, Intel/AMD/ARM</w:t>
            </w:r>
          </w:p>
        </w:tc>
      </w:tr>
      <w:tr w:rsidR="00680367" w:rsidRPr="006674E3">
        <w:trPr>
          <w:trHeight w:val="315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 w:rsidRPr="00F42DFE">
              <w:rPr>
                <w:rFonts w:cstheme="minorHAnsi"/>
                <w:b/>
                <w:sz w:val="24"/>
                <w:szCs w:val="24"/>
              </w:rPr>
              <w:t>/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680367" w:rsidRPr="006674E3">
        <w:trPr>
          <w:trHeight w:val="450"/>
        </w:trPr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2.1 Проверка на минималните изисквания към процесора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>1.  Преглед на техническата документация, предоставена от Изпълнителя</w:t>
            </w:r>
            <w:r w:rsidR="00F96967" w:rsidRPr="006674E3">
              <w:rPr>
                <w:rFonts w:cstheme="minorHAnsi"/>
              </w:rPr>
              <w:t>,</w:t>
            </w:r>
            <w:r w:rsidRPr="006674E3">
              <w:rPr>
                <w:rFonts w:cstheme="minorHAnsi"/>
              </w:rPr>
              <w:t xml:space="preserve"> в частта „</w:t>
            </w:r>
            <w:r w:rsidR="002238A2" w:rsidRPr="006674E3">
              <w:rPr>
                <w:rFonts w:cstheme="minorHAnsi"/>
              </w:rPr>
              <w:t>тактова честота</w:t>
            </w:r>
            <w:r w:rsidRPr="006674E3">
              <w:rPr>
                <w:rFonts w:cstheme="minorHAnsi"/>
              </w:rPr>
              <w:t>“ и „производител“.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2.</w:t>
            </w:r>
            <w:r w:rsidR="0007123A">
              <w:rPr>
                <w:rFonts w:cstheme="minorHAnsi"/>
              </w:rPr>
              <w:t xml:space="preserve"> </w:t>
            </w:r>
            <w:r w:rsidRPr="006674E3">
              <w:rPr>
                <w:rFonts w:cstheme="minorHAnsi"/>
              </w:rPr>
              <w:t>Визуална проверка на маркировката на вградения в ТУМГ процесор.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321"/>
              <w:rPr>
                <w:rFonts w:cstheme="minorHAnsi"/>
              </w:rPr>
            </w:pPr>
          </w:p>
          <w:p w:rsidR="00680367" w:rsidRPr="006674E3" w:rsidRDefault="00F36D1A">
            <w:pPr>
              <w:pStyle w:val="ListParagraph"/>
              <w:numPr>
                <w:ilvl w:val="0"/>
                <w:numId w:val="24"/>
              </w:numPr>
              <w:tabs>
                <w:tab w:val="left" w:pos="321"/>
              </w:tabs>
              <w:spacing w:after="0" w:line="240" w:lineRule="auto"/>
              <w:ind w:left="321" w:hanging="321"/>
              <w:rPr>
                <w:rFonts w:cstheme="minorHAnsi"/>
              </w:rPr>
            </w:pPr>
            <w:r w:rsidRPr="006674E3">
              <w:rPr>
                <w:rFonts w:cstheme="minorHAnsi"/>
              </w:rPr>
              <w:t>Допълнителна проверка за съответствието на параметрите с изискванията на техническата спецификация се извършва при зареждане на ОС.</w:t>
            </w:r>
          </w:p>
          <w:p w:rsidR="00680367" w:rsidRPr="006674E3" w:rsidRDefault="00680367">
            <w:pPr>
              <w:spacing w:after="0" w:line="240" w:lineRule="auto"/>
              <w:ind w:left="321" w:hanging="321"/>
              <w:rPr>
                <w:rFonts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 w:rsidP="00071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9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в</w:t>
            </w:r>
            <w:r w:rsidR="00F36D1A" w:rsidRPr="006674E3">
              <w:rPr>
                <w:rFonts w:cstheme="minorHAnsi"/>
              </w:rPr>
              <w:t>изуалната проверка се извършва при отворена/частично отворена ТУМГ</w:t>
            </w:r>
            <w:r w:rsidR="0007123A">
              <w:rPr>
                <w:rFonts w:cstheme="minorHAnsi"/>
              </w:rPr>
              <w:t>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</w:pPr>
            <w:r>
              <w:rPr>
                <w:rFonts w:cstheme="minorHAnsi"/>
              </w:rPr>
              <w:lastRenderedPageBreak/>
              <w:t>с</w:t>
            </w:r>
            <w:r w:rsidR="00F36D1A" w:rsidRPr="006674E3">
              <w:rPr>
                <w:rFonts w:cstheme="minorHAnsi"/>
              </w:rPr>
              <w:t xml:space="preserve">ъгласно предоставената техническа документация </w:t>
            </w:r>
            <w:r w:rsidR="002238A2" w:rsidRPr="006674E3">
              <w:rPr>
                <w:rFonts w:cstheme="minorHAnsi"/>
              </w:rPr>
              <w:t xml:space="preserve">тактовата честота </w:t>
            </w:r>
            <w:r w:rsidR="00F36D1A" w:rsidRPr="006674E3">
              <w:rPr>
                <w:rFonts w:cstheme="minorHAnsi"/>
              </w:rPr>
              <w:t xml:space="preserve">на процесора е 1 </w:t>
            </w:r>
            <w:proofErr w:type="spellStart"/>
            <w:r w:rsidR="00F36D1A" w:rsidRPr="006674E3">
              <w:rPr>
                <w:rFonts w:cstheme="minorHAnsi"/>
              </w:rPr>
              <w:t>GHz</w:t>
            </w:r>
            <w:proofErr w:type="spellEnd"/>
            <w:r w:rsidR="00F36D1A" w:rsidRPr="006674E3">
              <w:rPr>
                <w:rFonts w:cstheme="minorHAnsi"/>
              </w:rPr>
              <w:t xml:space="preserve"> или по-висока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процесорът е Intel, AMD или ARM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F36D1A" w:rsidRPr="006674E3">
              <w:rPr>
                <w:rFonts w:cstheme="minorHAnsi"/>
              </w:rPr>
              <w:t>аркировката отговаря на предоставената техническа документация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0367" w:rsidRPr="006674E3" w:rsidRDefault="0068036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eGrid1"/>
        <w:tblW w:w="14611" w:type="dxa"/>
        <w:tblLook w:val="04A0" w:firstRow="1" w:lastRow="0" w:firstColumn="1" w:lastColumn="0" w:noHBand="0" w:noVBand="1"/>
      </w:tblPr>
      <w:tblGrid>
        <w:gridCol w:w="7052"/>
        <w:gridCol w:w="4043"/>
        <w:gridCol w:w="1694"/>
        <w:gridCol w:w="1600"/>
        <w:gridCol w:w="222"/>
      </w:tblGrid>
      <w:tr w:rsidR="00680367" w:rsidRPr="006674E3">
        <w:trPr>
          <w:trHeight w:val="1174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3.Изисквания към хардуерната конфигурация на устройствата  / Компоненти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Pr="006674E3">
              <w:rPr>
                <w:rFonts w:cstheme="minorHAnsi"/>
                <w:color w:val="000000"/>
                <w:sz w:val="24"/>
                <w:szCs w:val="24"/>
              </w:rPr>
              <w:t>Оперативна памет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Минимални параметри: В съответствие с минималните изисквания за използваната операционна система и софтуер на ТУМГ, минимум 1 GB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 w:rsidRPr="00F42DFE">
              <w:rPr>
                <w:rFonts w:cstheme="minorHAnsi"/>
                <w:b/>
                <w:sz w:val="24"/>
                <w:szCs w:val="24"/>
              </w:rPr>
              <w:t>/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3.1 Проверка на минималните изисквания към оперативната памет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1.  Преглед на техническата документация, предоставена от Изпълнителя, за размера на вградената оперативна памет.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>2.  Визуална проверка на маркировката на вградената оперативна памет.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21" w:hanging="28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t>3.</w:t>
            </w:r>
            <w:r w:rsidRPr="006674E3">
              <w:rPr>
                <w:rFonts w:cstheme="minorHAnsi"/>
              </w:rPr>
              <w:t xml:space="preserve"> Допълнителна проверка за съответствието на параметрите с изискванията на техническата спецификация се извършва при зареждане на ОС.</w:t>
            </w:r>
          </w:p>
          <w:p w:rsidR="00680367" w:rsidRPr="006674E3" w:rsidRDefault="00680367">
            <w:pPr>
              <w:spacing w:after="0" w:line="240" w:lineRule="auto"/>
              <w:ind w:left="321" w:hanging="28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в</w:t>
            </w:r>
            <w:r w:rsidR="00F36D1A" w:rsidRPr="006674E3">
              <w:rPr>
                <w:rFonts w:cstheme="minorHAnsi"/>
              </w:rPr>
              <w:t>изуалната проверка се извършва при отворена/частично отворена ТУМГ</w:t>
            </w:r>
            <w:r w:rsidR="0061573E">
              <w:rPr>
                <w:rFonts w:cstheme="minorHAnsi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оперативната памет е 1 GB или по-голяма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м</w:t>
            </w:r>
            <w:r w:rsidR="00F36D1A" w:rsidRPr="006674E3">
              <w:rPr>
                <w:rFonts w:cstheme="minorHAnsi"/>
              </w:rPr>
              <w:t>аркировката отговаря на предоставената техническа документация</w:t>
            </w:r>
            <w:r w:rsidR="0061573E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791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4.  Изисквания към хардуерната конфигурация на устройствата  / Компоненти</w:t>
            </w:r>
          </w:p>
          <w:p w:rsidR="00680367" w:rsidRPr="006674E3" w:rsidRDefault="00F36D1A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="00F96967" w:rsidRPr="006674E3">
              <w:rPr>
                <w:rFonts w:cstheme="minorHAnsi"/>
                <w:sz w:val="24"/>
                <w:szCs w:val="24"/>
              </w:rPr>
              <w:t>В</w:t>
            </w:r>
            <w:r w:rsidRPr="006674E3">
              <w:rPr>
                <w:rFonts w:cstheme="minorHAnsi"/>
                <w:sz w:val="24"/>
                <w:szCs w:val="24"/>
              </w:rPr>
              <w:t>ътрешна енергонезависима памет</w:t>
            </w:r>
          </w:p>
          <w:p w:rsidR="00680367" w:rsidRPr="006674E3" w:rsidRDefault="00F36D1A" w:rsidP="006157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Минимални параметри: </w:t>
            </w:r>
            <w:r w:rsidR="00127BB3" w:rsidRPr="006674E3">
              <w:rPr>
                <w:rFonts w:cstheme="minorHAnsi"/>
                <w:sz w:val="24"/>
                <w:szCs w:val="24"/>
              </w:rPr>
              <w:t>в</w:t>
            </w:r>
            <w:r w:rsidRPr="006674E3">
              <w:rPr>
                <w:rFonts w:cstheme="minorHAnsi"/>
                <w:sz w:val="24"/>
                <w:szCs w:val="24"/>
              </w:rPr>
              <w:t xml:space="preserve"> съответствие с минималните изисквания на използваната операционна система и софтуер за ТУМГ, минимален обем 16 GB, SSD/MMC/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eMMC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>. Не се допуска използването на вътрешна памет с подвижни части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42D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Pr="00F42DFE">
              <w:rPr>
                <w:rFonts w:cstheme="minorHAnsi"/>
                <w:b/>
                <w:sz w:val="24"/>
                <w:szCs w:val="24"/>
              </w:rPr>
              <w:t>/ критерий за оценяване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4.1 Проверка на минималните изисквания към оперативната памет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1.  Преглед на техническата документация, предоставена от Изпълнителя, за размера на вътрешната енергоне</w:t>
            </w:r>
            <w:r w:rsidR="00127BB3" w:rsidRPr="006674E3">
              <w:rPr>
                <w:rFonts w:cstheme="minorHAnsi"/>
              </w:rPr>
              <w:t>з</w:t>
            </w:r>
            <w:r w:rsidRPr="006674E3">
              <w:rPr>
                <w:rFonts w:cstheme="minorHAnsi"/>
              </w:rPr>
              <w:t xml:space="preserve">ависима памет. 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cstheme="minorHAnsi"/>
              </w:rPr>
            </w:pPr>
            <w:r w:rsidRPr="006674E3">
              <w:rPr>
                <w:rFonts w:cstheme="minorHAnsi"/>
              </w:rPr>
              <w:t>2. Визуална проверка на маркировката на вътрешната енергонезависима памет.</w:t>
            </w:r>
          </w:p>
          <w:p w:rsidR="00680367" w:rsidRPr="006674E3" w:rsidRDefault="00680367">
            <w:pPr>
              <w:pStyle w:val="ListParagraph"/>
              <w:tabs>
                <w:tab w:val="left" w:pos="321"/>
              </w:tabs>
              <w:spacing w:after="0" w:line="240" w:lineRule="auto"/>
              <w:ind w:left="360" w:hanging="338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3.Допълнителна проверка за съответствието на параметрите с изискванията на техническата спецификация се извършва при зареждане на ОС.</w:t>
            </w:r>
          </w:p>
          <w:p w:rsidR="00680367" w:rsidRPr="006674E3" w:rsidRDefault="00680367">
            <w:pPr>
              <w:spacing w:after="0" w:line="240" w:lineRule="auto"/>
              <w:ind w:left="321" w:hanging="28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в</w:t>
            </w:r>
            <w:r w:rsidR="00F36D1A" w:rsidRPr="006674E3">
              <w:rPr>
                <w:rFonts w:cstheme="minorHAnsi"/>
              </w:rPr>
              <w:t>изуалната проверка се извършва при отворена/частично отворена ТУМГ</w:t>
            </w:r>
            <w:r w:rsidR="000C1C09">
              <w:rPr>
                <w:rFonts w:cstheme="minorHAnsi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ind w:left="319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ind w:left="319"/>
              <w:rPr>
                <w:rFonts w:ascii="Calibri" w:hAnsi="Calibri"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вътрешната памет е 16 GB или по-голяма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 xml:space="preserve">ъгласно предоставената техническа документация технологията на вътрешната памет е SSD, или MMC или </w:t>
            </w:r>
            <w:proofErr w:type="spellStart"/>
            <w:r w:rsidR="00F36D1A" w:rsidRPr="006674E3">
              <w:rPr>
                <w:rFonts w:cstheme="minorHAnsi"/>
              </w:rPr>
              <w:t>eMMC</w:t>
            </w:r>
            <w:proofErr w:type="spellEnd"/>
            <w:r w:rsidR="000C1C09">
              <w:rPr>
                <w:rFonts w:cstheme="minorHAnsi"/>
              </w:rPr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м</w:t>
            </w:r>
            <w:r w:rsidR="00F36D1A" w:rsidRPr="006674E3">
              <w:rPr>
                <w:rFonts w:cstheme="minorHAnsi"/>
              </w:rPr>
              <w:t>аркировката отговаря на предоставената техническа документация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с</w:t>
            </w:r>
            <w:r w:rsidR="00F36D1A" w:rsidRPr="006674E3">
              <w:rPr>
                <w:rFonts w:cstheme="minorHAnsi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5.Изисквания към хардуерната конфигурация на устройствата  / Компоненти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="00F96967" w:rsidRPr="006674E3">
              <w:rPr>
                <w:rFonts w:cstheme="minorHAnsi"/>
                <w:sz w:val="24"/>
                <w:szCs w:val="24"/>
              </w:rPr>
              <w:t>З</w:t>
            </w:r>
            <w:r w:rsidRPr="006674E3">
              <w:rPr>
                <w:rFonts w:cstheme="minorHAnsi"/>
                <w:sz w:val="24"/>
                <w:szCs w:val="24"/>
              </w:rPr>
              <w:t>аписващо техническо устройство (ЗТУ/контролни памети)</w:t>
            </w:r>
          </w:p>
          <w:p w:rsidR="00680367" w:rsidRPr="006674E3" w:rsidRDefault="00F36D1A" w:rsidP="000C1C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Минимални параметри: USB Тип A Flash памет, с минимален обем 1 GB, стандарт USB 2.0. Ако за произвеждания избор има възможност за произвеждане на втори тур, е   необходимо предоставянето на допълнително записващо техническо устройство. Участникът може да предложи и използването на повече от едно ЗТУ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42D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Pr="00F42DFE">
              <w:rPr>
                <w:rFonts w:cstheme="minorHAnsi"/>
                <w:b/>
                <w:sz w:val="24"/>
                <w:szCs w:val="24"/>
              </w:rPr>
              <w:t>/ критерий за оценяване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5.1 Проверка на минималните изисквания към записващото техническо устройство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</w:rPr>
            </w:pPr>
            <w:r w:rsidRPr="006674E3">
              <w:rPr>
                <w:rFonts w:cstheme="minorHAnsi"/>
              </w:rPr>
              <w:t>1. Преглед на техническата документация, предоставена от Изпълнителя, за размера и стандарта на предоставеното ЗТУ.</w:t>
            </w: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</w:rPr>
            </w:pPr>
            <w:r w:rsidRPr="006674E3">
              <w:rPr>
                <w:rFonts w:cstheme="minorHAnsi"/>
              </w:rPr>
              <w:t>2. Допълнителна проверка за съответствието на параметрите с изискванията на техническата спецификация се извършва при зареждане на ОС или независимо на външен компютър.</w:t>
            </w: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br/>
            </w:r>
            <w:r w:rsidRPr="006674E3">
              <w:rPr>
                <w:rFonts w:cstheme="minorHAnsi"/>
                <w:b/>
                <w:sz w:val="24"/>
                <w:szCs w:val="24"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ЗТУ е 1 GB или по-голямо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ЗТУ е USB 2.0.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тойностите на параметрите, установени чрез използването на системните инструменти на ОС, отговарят на техническата документация.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 xml:space="preserve">5.2 Проверка на съвместимостта на ЗТУ с наличните </w:t>
            </w:r>
            <w:r w:rsidR="00F96967" w:rsidRPr="006674E3">
              <w:rPr>
                <w:rFonts w:cstheme="minorHAnsi"/>
                <w:b/>
              </w:rPr>
              <w:t>комуникационни интерфейси</w:t>
            </w:r>
            <w:r w:rsidRPr="006674E3">
              <w:rPr>
                <w:rFonts w:cstheme="minorHAnsi"/>
                <w:b/>
              </w:rPr>
              <w:t xml:space="preserve"> в ТУМГ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numPr>
                <w:ilvl w:val="0"/>
                <w:numId w:val="14"/>
              </w:numPr>
              <w:spacing w:after="120" w:line="240" w:lineRule="auto"/>
              <w:ind w:left="447" w:hanging="447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 xml:space="preserve">Преглед на техническата документация, предоставена от Изпълнителя за ТУМГ, за  налични </w:t>
            </w:r>
            <w:r w:rsidR="00F96967" w:rsidRPr="006674E3">
              <w:rPr>
                <w:rFonts w:cstheme="minorHAnsi"/>
              </w:rPr>
              <w:t>комуникационни интерфейси</w:t>
            </w:r>
            <w:r w:rsidRPr="006674E3">
              <w:rPr>
                <w:rFonts w:cstheme="minorHAnsi"/>
              </w:rPr>
              <w:t xml:space="preserve"> за контролна памет.</w:t>
            </w: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 xml:space="preserve"> Предпоставки:</w:t>
            </w:r>
          </w:p>
          <w:p w:rsidR="00680367" w:rsidRPr="006674E3" w:rsidRDefault="00F36D1A">
            <w:pPr>
              <w:numPr>
                <w:ilvl w:val="0"/>
                <w:numId w:val="5"/>
              </w:numPr>
              <w:spacing w:after="120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ind w:left="141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ind w:left="141"/>
              <w:rPr>
                <w:rFonts w:ascii="Calibri" w:hAnsi="Calibri" w:cstheme="minorHAnsi"/>
              </w:rPr>
            </w:pPr>
          </w:p>
          <w:p w:rsidR="00680367" w:rsidRPr="006674E3" w:rsidRDefault="00AE6CBD" w:rsidP="00F9696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</w:t>
            </w:r>
            <w:r w:rsidR="00F36D1A" w:rsidRPr="006674E3">
              <w:rPr>
                <w:rFonts w:cstheme="minorHAnsi"/>
              </w:rPr>
              <w:t xml:space="preserve">ъгласно предоставената техническа документация ТУМГ включва поне един хардуерен </w:t>
            </w:r>
            <w:r w:rsidR="00F96967" w:rsidRPr="006674E3">
              <w:rPr>
                <w:rFonts w:cstheme="minorHAnsi"/>
              </w:rPr>
              <w:t>комуникационен интерфейс</w:t>
            </w:r>
            <w:r w:rsidR="00F36D1A" w:rsidRPr="006674E3">
              <w:rPr>
                <w:rFonts w:cstheme="minorHAnsi"/>
              </w:rPr>
              <w:t xml:space="preserve"> USB 2.0 или  по-висок с тип А конектор.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lastRenderedPageBreak/>
              <w:t>5.3 Проверка на механичната съвместимост на ЗТУ с ТУМГ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numPr>
                <w:ilvl w:val="0"/>
                <w:numId w:val="15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Визуална проверка на конструкцията на ЗТУ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Свързване на ЗТУ към наличен </w:t>
            </w:r>
            <w:r w:rsidR="00F96967" w:rsidRPr="006674E3">
              <w:rPr>
                <w:rFonts w:cstheme="minorHAnsi"/>
              </w:rPr>
              <w:t>комуникационен интерфейс</w:t>
            </w:r>
            <w:r w:rsidRPr="006674E3">
              <w:rPr>
                <w:rFonts w:cstheme="minorHAnsi"/>
              </w:rPr>
              <w:t xml:space="preserve"> в ТУМГ, както е указано в Ръководството за експлоатация, доставено от Изпълнителя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F36D1A">
            <w:pPr>
              <w:numPr>
                <w:ilvl w:val="0"/>
                <w:numId w:val="6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Ограничаване на достъпа  до ЗТУ чрез заключване или стикер и проверка на сигурността.</w:t>
            </w:r>
          </w:p>
          <w:p w:rsidR="00680367" w:rsidRPr="006674E3" w:rsidRDefault="00F36D1A">
            <w:pPr>
              <w:spacing w:after="0" w:line="240" w:lineRule="auto"/>
              <w:ind w:left="360"/>
              <w:rPr>
                <w:rFonts w:cstheme="minorHAnsi"/>
              </w:rPr>
            </w:pPr>
            <w:r w:rsidRPr="006674E3">
              <w:rPr>
                <w:rFonts w:cstheme="minorHAnsi"/>
              </w:rPr>
              <w:br/>
            </w: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ЗТУ, предоставени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F36D1A" w:rsidRPr="006674E3">
              <w:rPr>
                <w:rFonts w:cstheme="minorHAnsi"/>
              </w:rPr>
              <w:t>ъководство за експлоатация, предоставено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>лючове или стикери за в</w:t>
            </w:r>
            <w:r w:rsidR="00F36D1A" w:rsidRPr="006674E3">
              <w:t>ъзпрепятстване на директен достъп</w:t>
            </w:r>
            <w:r w:rsidR="000C1C09"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ЗТУ включва USB тип А конектор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7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ЗТУ може да се постави в хардуерен интерфейс и отделение, както е указано в Ръководството за експлоатация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7"/>
              </w:numPr>
              <w:spacing w:after="120"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>онструктивното изпълнение на ТУМГ позволява ограничаване на достъпа срещу манипулация или отстраняване на ЗТУ, както е указано в ръководството на Изпълнителя.</w:t>
            </w:r>
          </w:p>
          <w:p w:rsidR="00680367" w:rsidRPr="006674E3" w:rsidRDefault="00680367">
            <w:pPr>
              <w:spacing w:after="0" w:line="240" w:lineRule="auto"/>
              <w:ind w:left="360" w:hanging="467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Изисквания към хардуерната конфигурация на устройствата  / Компоненти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="00F96967" w:rsidRPr="006674E3">
              <w:rPr>
                <w:rFonts w:cstheme="minorHAnsi"/>
                <w:sz w:val="24"/>
                <w:szCs w:val="24"/>
              </w:rPr>
              <w:t>С</w:t>
            </w:r>
            <w:r w:rsidRPr="006674E3">
              <w:rPr>
                <w:rFonts w:cstheme="minorHAnsi"/>
                <w:sz w:val="24"/>
                <w:szCs w:val="24"/>
              </w:rPr>
              <w:t>ензорен дисплей</w:t>
            </w:r>
          </w:p>
          <w:p w:rsidR="00680367" w:rsidRPr="006674E3" w:rsidRDefault="00F36D1A" w:rsidP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Минимални параметри: минимален диагонал 15“, минимална резолюция - XGA, допуска се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резистивен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или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капацитивен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принцип на работа на сензорния дисплей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 w:rsidRPr="00F42DFE">
              <w:rPr>
                <w:rFonts w:cstheme="minorHAnsi"/>
                <w:b/>
                <w:sz w:val="24"/>
                <w:szCs w:val="24"/>
              </w:rPr>
              <w:t>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6.1 Проверка на минималните изисквания към сензорния дисплей според техническата документация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Проверка на минималните изисквания към оперативната памет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1.  Преглед на техническата документация, предоставена от Изпълнителя за </w:t>
            </w:r>
            <w:r w:rsidRPr="006674E3">
              <w:rPr>
                <w:rFonts w:cstheme="minorHAnsi"/>
                <w:sz w:val="24"/>
                <w:szCs w:val="24"/>
              </w:rPr>
              <w:t>спецификацията на сензорния дисплей, включително размерите на активната област, резолюция и технология на сензорния дисплей</w:t>
            </w:r>
            <w:r w:rsidRPr="006674E3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2.  Визуална проверка на маркировката на сензорния дисплей.</w:t>
            </w:r>
          </w:p>
          <w:p w:rsidR="00680367" w:rsidRPr="006674E3" w:rsidRDefault="00680367">
            <w:pPr>
              <w:spacing w:after="0" w:line="240" w:lineRule="auto"/>
              <w:ind w:left="321" w:hanging="28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AE6CBD" w:rsidRDefault="00F36D1A" w:rsidP="00AE6C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9" w:firstLine="142"/>
              <w:rPr>
                <w:rFonts w:cstheme="minorHAnsi"/>
              </w:rPr>
            </w:pPr>
            <w:r w:rsidRPr="00AE6CBD">
              <w:rPr>
                <w:rFonts w:cstheme="minorHAnsi"/>
              </w:rPr>
              <w:t>Техническа документация, предоставена от Изпълнителя</w:t>
            </w:r>
            <w:r w:rsidR="000C1C09" w:rsidRPr="00AE6CBD">
              <w:rPr>
                <w:rFonts w:cstheme="minorHAnsi"/>
              </w:rPr>
              <w:t>;</w:t>
            </w:r>
          </w:p>
          <w:p w:rsidR="00680367" w:rsidRPr="00AE6CBD" w:rsidRDefault="00AE6CBD" w:rsidP="00AE6CBD">
            <w:pPr>
              <w:pStyle w:val="ListParagraph"/>
              <w:numPr>
                <w:ilvl w:val="0"/>
                <w:numId w:val="29"/>
              </w:numPr>
              <w:spacing w:after="0" w:line="252" w:lineRule="auto"/>
              <w:ind w:left="29" w:firstLine="142"/>
              <w:rPr>
                <w:rFonts w:cstheme="minorHAnsi"/>
                <w:sz w:val="24"/>
              </w:rPr>
            </w:pPr>
            <w:r w:rsidRPr="00AE6CBD">
              <w:rPr>
                <w:rFonts w:cstheme="minorHAnsi"/>
              </w:rPr>
              <w:t>в</w:t>
            </w:r>
            <w:r w:rsidR="00F36D1A" w:rsidRPr="00AE6CBD">
              <w:rPr>
                <w:rFonts w:cstheme="minorHAnsi"/>
              </w:rPr>
              <w:t>изуалната проверка се извършва при отворена/частично отворена ТУМГ</w:t>
            </w:r>
            <w:r w:rsidR="000C1C09" w:rsidRPr="00AE6CBD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предоставената техническа документация активната област на  екрана на сензорния дисплей е с диагонал поне 15 "</w:t>
            </w:r>
            <w:r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6674E3">
              <w:rPr>
                <w:rFonts w:cstheme="minorHAnsi"/>
              </w:rPr>
              <w:t xml:space="preserve">минималната резолюция на дисплея е XGA или по-голяма. 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 xml:space="preserve">технологията на сензорния дисплей е </w:t>
            </w:r>
            <w:proofErr w:type="spellStart"/>
            <w:r w:rsidRPr="006674E3">
              <w:rPr>
                <w:rFonts w:cstheme="minorHAnsi"/>
              </w:rPr>
              <w:t>капацитивна</w:t>
            </w:r>
            <w:proofErr w:type="spellEnd"/>
            <w:r w:rsidRPr="006674E3">
              <w:rPr>
                <w:rFonts w:cstheme="minorHAnsi"/>
              </w:rPr>
              <w:t xml:space="preserve"> или </w:t>
            </w:r>
            <w:proofErr w:type="spellStart"/>
            <w:r w:rsidRPr="006674E3">
              <w:rPr>
                <w:rFonts w:cstheme="minorHAnsi"/>
              </w:rPr>
              <w:t>резистивна</w:t>
            </w:r>
            <w:proofErr w:type="spellEnd"/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м</w:t>
            </w:r>
            <w:r w:rsidR="00F36D1A" w:rsidRPr="006674E3">
              <w:rPr>
                <w:rFonts w:cstheme="minorHAnsi"/>
              </w:rPr>
              <w:t>аркировката отговаря на предоставената техническа документация</w:t>
            </w:r>
            <w:r w:rsidR="000C1C09">
              <w:rPr>
                <w:rFonts w:cstheme="minorHAnsi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Изисквания към хардуерната конфигурация на устройствата/Компоненти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r w:rsidR="00F96967" w:rsidRPr="006674E3">
              <w:rPr>
                <w:rFonts w:cstheme="minorHAnsi"/>
                <w:sz w:val="24"/>
                <w:szCs w:val="24"/>
              </w:rPr>
              <w:t>П</w:t>
            </w:r>
            <w:r w:rsidRPr="006674E3">
              <w:rPr>
                <w:rFonts w:cstheme="minorHAnsi"/>
                <w:sz w:val="24"/>
                <w:szCs w:val="24"/>
              </w:rPr>
              <w:t>ечатащо устройство</w:t>
            </w:r>
          </w:p>
          <w:p w:rsidR="00680367" w:rsidRPr="006674E3" w:rsidRDefault="00F36D1A" w:rsidP="000C1C09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  <w:szCs w:val="24"/>
              </w:rPr>
              <w:t>Минимални параметри:</w:t>
            </w:r>
            <w:r w:rsidRPr="006674E3">
              <w:t xml:space="preserve"> п</w:t>
            </w:r>
            <w:r w:rsidRPr="006674E3">
              <w:rPr>
                <w:rFonts w:cstheme="minorHAnsi"/>
                <w:sz w:val="24"/>
                <w:szCs w:val="24"/>
              </w:rPr>
              <w:t>ринтер за печат с ролкова хартия, минимална поддържана резолюция на печата 200dpi, ширина 79 mm и нож за автоматично отрязване на контролната разписка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 w:rsidRPr="00F42DFE">
              <w:rPr>
                <w:rFonts w:cstheme="minorHAnsi"/>
                <w:b/>
                <w:sz w:val="24"/>
                <w:szCs w:val="24"/>
              </w:rPr>
              <w:t>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7.1 Проверка на минималните изисквания към печатащото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 xml:space="preserve"> устройство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1. Преглед на техническата документация, предоставена от Изпълнителя, за </w:t>
            </w:r>
            <w:r w:rsidRPr="006674E3">
              <w:rPr>
                <w:rFonts w:cstheme="minorHAnsi"/>
                <w:sz w:val="24"/>
                <w:szCs w:val="24"/>
              </w:rPr>
              <w:t>печатащото устройство</w:t>
            </w:r>
            <w:r w:rsidRPr="006674E3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t>2.</w:t>
            </w:r>
            <w:r w:rsidRPr="006674E3">
              <w:rPr>
                <w:rFonts w:cstheme="minorHAnsi"/>
              </w:rPr>
              <w:t xml:space="preserve"> Визуална проверка на маркировката на печатащото</w:t>
            </w: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 xml:space="preserve">   Устройство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164" w:hanging="16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>3. Правилното функциониране на устройството се установява при проверката на функционалността на ТУМГ по т.3.</w:t>
            </w:r>
          </w:p>
          <w:p w:rsidR="00680367" w:rsidRPr="006674E3" w:rsidRDefault="00F36D1A">
            <w:pPr>
              <w:spacing w:after="0" w:line="240" w:lineRule="auto"/>
              <w:ind w:left="164" w:hanging="164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br/>
            </w:r>
            <w:r w:rsidRPr="006674E3">
              <w:rPr>
                <w:rFonts w:cstheme="minorHAnsi"/>
                <w:b/>
                <w:sz w:val="24"/>
                <w:szCs w:val="24"/>
              </w:rPr>
              <w:t>Предпоставки: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Съгласно предоставената техническа документация: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резолюцията на принтера е 200 </w:t>
            </w:r>
            <w:proofErr w:type="spellStart"/>
            <w:r w:rsidRPr="006674E3">
              <w:rPr>
                <w:rFonts w:cstheme="minorHAnsi"/>
              </w:rPr>
              <w:t>dpi</w:t>
            </w:r>
            <w:proofErr w:type="spellEnd"/>
            <w:r w:rsidRPr="006674E3">
              <w:rPr>
                <w:rFonts w:cstheme="minorHAnsi"/>
              </w:rPr>
              <w:t xml:space="preserve"> или по-голяма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поддържаната хартия е с ширина 79 мм или по-широка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>принтерът включва автоматичен нож, контролиран чрез софтуер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ринтерът може да реализира автоматично отрязване на контролната разписка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F36D1A" w:rsidRPr="006674E3">
              <w:rPr>
                <w:rFonts w:cstheme="minorHAnsi"/>
              </w:rPr>
              <w:t>аркировката отговаря на предоставената техническа документация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F36D1A" w:rsidRPr="006674E3">
              <w:rPr>
                <w:rFonts w:cstheme="minorHAnsi"/>
              </w:rPr>
              <w:t>стройството изпълнява всички предвидени функции</w:t>
            </w:r>
            <w:r w:rsidR="000C1C09">
              <w:rPr>
                <w:rFonts w:cstheme="minorHAnsi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 xml:space="preserve">Изисквания към хардуерната конфигурация на устройствата  / Компоненти. 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Четец за </w:t>
            </w:r>
            <w:proofErr w:type="spellStart"/>
            <w:r w:rsidR="00935DE8">
              <w:rPr>
                <w:rFonts w:cstheme="minorHAnsi"/>
                <w:sz w:val="24"/>
                <w:szCs w:val="24"/>
              </w:rPr>
              <w:t>смарт</w:t>
            </w:r>
            <w:proofErr w:type="spellEnd"/>
            <w:r w:rsidR="00935DE8">
              <w:rPr>
                <w:rFonts w:cstheme="minorHAnsi"/>
                <w:sz w:val="24"/>
                <w:szCs w:val="24"/>
              </w:rPr>
              <w:t>-карта</w:t>
            </w:r>
          </w:p>
          <w:p w:rsidR="00680367" w:rsidRPr="006674E3" w:rsidRDefault="00F36D1A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Минимални параметри: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Full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size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PC/SC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SmartCard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четец за контактни </w:t>
            </w:r>
            <w:proofErr w:type="spellStart"/>
            <w:r w:rsidR="00935DE8">
              <w:rPr>
                <w:rFonts w:cstheme="minorHAnsi"/>
                <w:sz w:val="24"/>
                <w:szCs w:val="24"/>
              </w:rPr>
              <w:t>смарт</w:t>
            </w:r>
            <w:proofErr w:type="spellEnd"/>
            <w:r w:rsidR="00935DE8">
              <w:rPr>
                <w:rFonts w:cstheme="minorHAnsi"/>
                <w:sz w:val="24"/>
                <w:szCs w:val="24"/>
              </w:rPr>
              <w:t>-карти</w:t>
            </w:r>
            <w:r w:rsidRPr="006674E3">
              <w:rPr>
                <w:rFonts w:cstheme="minorHAnsi"/>
                <w:sz w:val="24"/>
                <w:szCs w:val="24"/>
              </w:rPr>
              <w:t xml:space="preserve"> по стандарт ISO/IEC 7816, CCID интерфейс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 xml:space="preserve">8.1 Проверете минималните изисквания към четеца за </w:t>
            </w:r>
            <w:proofErr w:type="spellStart"/>
            <w:r w:rsidR="00935DE8">
              <w:rPr>
                <w:rFonts w:cstheme="minorHAnsi"/>
                <w:b/>
                <w:sz w:val="24"/>
                <w:szCs w:val="24"/>
              </w:rPr>
              <w:t>смарт</w:t>
            </w:r>
            <w:proofErr w:type="spellEnd"/>
            <w:r w:rsidR="00935DE8">
              <w:rPr>
                <w:rFonts w:cstheme="minorHAnsi"/>
                <w:b/>
                <w:sz w:val="24"/>
                <w:szCs w:val="24"/>
              </w:rPr>
              <w:t>-карта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1. </w:t>
            </w:r>
            <w:r w:rsidRPr="006674E3">
              <w:rPr>
                <w:rFonts w:cstheme="minorHAnsi"/>
              </w:rPr>
              <w:t xml:space="preserve">Преглед на техническата документация, предоставена от </w:t>
            </w:r>
            <w:r w:rsidR="00F34787" w:rsidRPr="006674E3">
              <w:rPr>
                <w:rFonts w:cstheme="minorHAnsi"/>
                <w:sz w:val="24"/>
                <w:szCs w:val="24"/>
              </w:rPr>
              <w:t>Изпълнителя,</w:t>
            </w:r>
            <w:r w:rsidRPr="006674E3">
              <w:rPr>
                <w:rFonts w:cstheme="minorHAnsi"/>
              </w:rPr>
              <w:t xml:space="preserve"> за съвместимост на предоставените четци за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-карти</w:t>
            </w:r>
            <w:r w:rsidRPr="006674E3">
              <w:rPr>
                <w:rFonts w:cstheme="minorHAnsi"/>
              </w:rPr>
              <w:t xml:space="preserve"> с PC / SC, поддържани стандарти и интерфейс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360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2. </w:t>
            </w:r>
            <w:r w:rsidRPr="006674E3">
              <w:rPr>
                <w:rFonts w:cstheme="minorHAnsi"/>
              </w:rPr>
              <w:t>Правилното функциониране на устройството се установява при проверката на функционалността на ТУМГ по т.3. и т.4.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Предпоставки:</w:t>
            </w:r>
          </w:p>
          <w:p w:rsidR="00680367" w:rsidRPr="00AE6CBD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6CBD">
              <w:rPr>
                <w:rFonts w:cstheme="minorHAnsi"/>
                <w:sz w:val="24"/>
                <w:szCs w:val="24"/>
              </w:rPr>
              <w:t>Техническа документация, предоставена от Изпълнителя</w:t>
            </w:r>
            <w:r w:rsidR="000C1C09" w:rsidRPr="00AE6CB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>Съгласно предоставената техническа документация: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t>п</w:t>
            </w:r>
            <w:r w:rsidR="00F36D1A" w:rsidRPr="006674E3">
              <w:t>ълноразмерният</w:t>
            </w:r>
            <w:proofErr w:type="spellEnd"/>
            <w:r w:rsidR="00F36D1A" w:rsidRPr="006674E3">
              <w:t xml:space="preserve"> четец е вътрешен/външен по отношение на монолитния корпус на ТУМГ</w:t>
            </w:r>
            <w:r>
              <w:t>;</w:t>
            </w: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ч</w:t>
            </w:r>
            <w:r w:rsidR="00F36D1A" w:rsidRPr="006674E3">
              <w:rPr>
                <w:rFonts w:cstheme="minorHAnsi"/>
              </w:rPr>
              <w:t>етецът</w:t>
            </w:r>
            <w:r w:rsidR="0061573E" w:rsidRPr="006674E3">
              <w:rPr>
                <w:rFonts w:cstheme="minorHAnsi"/>
              </w:rPr>
              <w:t xml:space="preserve"> за </w:t>
            </w:r>
            <w:proofErr w:type="spellStart"/>
            <w:r w:rsidR="0061573E">
              <w:rPr>
                <w:rFonts w:cstheme="minorHAnsi"/>
              </w:rPr>
              <w:t>смарт</w:t>
            </w:r>
            <w:proofErr w:type="spellEnd"/>
            <w:r w:rsidR="0061573E">
              <w:rPr>
                <w:rFonts w:cstheme="minorHAnsi"/>
              </w:rPr>
              <w:t>-карти</w:t>
            </w:r>
            <w:r w:rsidR="00F36D1A" w:rsidRPr="006674E3">
              <w:rPr>
                <w:rFonts w:cstheme="minorHAnsi"/>
              </w:rPr>
              <w:t xml:space="preserve"> е </w:t>
            </w:r>
            <w:proofErr w:type="spellStart"/>
            <w:r w:rsidR="00F36D1A" w:rsidRPr="006674E3">
              <w:rPr>
                <w:rFonts w:cstheme="minorHAnsi"/>
              </w:rPr>
              <w:t>пълноразмерен</w:t>
            </w:r>
            <w:proofErr w:type="spellEnd"/>
            <w:r w:rsidR="00F36D1A" w:rsidRPr="006674E3">
              <w:rPr>
                <w:rFonts w:cstheme="minorHAnsi"/>
              </w:rPr>
              <w:t xml:space="preserve"> PC/SC</w:t>
            </w:r>
            <w:r w:rsidR="00F36D1A" w:rsidRPr="006674E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поддържа стандарт ISO/IEC 7816 за контакти карти</w:t>
            </w:r>
            <w:r w:rsidR="000C1C09">
              <w:rPr>
                <w:rFonts w:cstheme="minorHAnsi"/>
                <w:sz w:val="24"/>
                <w:szCs w:val="24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поддържа CCID интерфейс</w:t>
            </w:r>
            <w:r w:rsidR="000C1C09">
              <w:rPr>
                <w:rFonts w:cstheme="minorHAnsi"/>
                <w:sz w:val="24"/>
                <w:szCs w:val="24"/>
              </w:rPr>
              <w:t>;</w:t>
            </w:r>
            <w:r w:rsidRPr="006674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у</w:t>
            </w:r>
            <w:r w:rsidR="00F36D1A" w:rsidRPr="006674E3">
              <w:rPr>
                <w:rFonts w:cstheme="minorHAnsi"/>
              </w:rPr>
              <w:t>стройството изпълнява всички предвидени функции</w:t>
            </w:r>
            <w:r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680367">
            <w:pPr>
              <w:spacing w:after="0" w:line="240" w:lineRule="auto"/>
              <w:ind w:left="502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Компоненти.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Компонент: </w:t>
            </w:r>
            <w:proofErr w:type="spellStart"/>
            <w:r w:rsidR="00935DE8">
              <w:rPr>
                <w:rFonts w:cstheme="minorHAnsi"/>
                <w:sz w:val="24"/>
                <w:szCs w:val="24"/>
              </w:rPr>
              <w:t>Смарт</w:t>
            </w:r>
            <w:proofErr w:type="spellEnd"/>
            <w:r w:rsidR="00935DE8">
              <w:rPr>
                <w:rFonts w:cstheme="minorHAnsi"/>
                <w:sz w:val="24"/>
                <w:szCs w:val="24"/>
              </w:rPr>
              <w:t>-карти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Минимални параметри:  5 броя 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Full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size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, ISO/IEC 7816,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Criteria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– EAL4+,  минимално поддържани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криптографски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алгоритми RSA 2048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bits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, SHA2-256, наличие на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OpenSC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съвместим PKCS#11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provider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80367" w:rsidRPr="006674E3" w:rsidRDefault="00935DE8" w:rsidP="00935DE8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Смарт</w:t>
            </w:r>
            <w:proofErr w:type="spellEnd"/>
            <w:r w:rsidR="0061573E">
              <w:rPr>
                <w:rFonts w:cstheme="minorHAnsi"/>
                <w:i/>
                <w:sz w:val="24"/>
                <w:szCs w:val="24"/>
              </w:rPr>
              <w:t>-</w:t>
            </w:r>
            <w:r>
              <w:rPr>
                <w:rFonts w:cstheme="minorHAnsi"/>
                <w:i/>
                <w:sz w:val="24"/>
                <w:szCs w:val="24"/>
              </w:rPr>
              <w:t>карти</w:t>
            </w:r>
            <w:r w:rsidR="00F36D1A" w:rsidRPr="006674E3">
              <w:rPr>
                <w:rFonts w:cstheme="minorHAnsi"/>
                <w:i/>
                <w:sz w:val="24"/>
                <w:szCs w:val="24"/>
              </w:rPr>
              <w:t xml:space="preserve">те трябва да бъдат </w:t>
            </w:r>
            <w:proofErr w:type="spellStart"/>
            <w:r w:rsidR="00F36D1A" w:rsidRPr="006674E3">
              <w:rPr>
                <w:rFonts w:cstheme="minorHAnsi"/>
                <w:i/>
                <w:sz w:val="24"/>
                <w:szCs w:val="24"/>
              </w:rPr>
              <w:t>брандирани</w:t>
            </w:r>
            <w:proofErr w:type="spellEnd"/>
            <w:r w:rsidR="00F36D1A" w:rsidRPr="006674E3">
              <w:rPr>
                <w:rFonts w:cstheme="minorHAnsi"/>
                <w:i/>
                <w:sz w:val="24"/>
                <w:szCs w:val="24"/>
              </w:rPr>
              <w:t xml:space="preserve"> с пълноцветен печат по дизайн, одобрен от ЦИК.</w:t>
            </w:r>
          </w:p>
        </w:tc>
      </w:tr>
      <w:tr w:rsidR="00680367" w:rsidRPr="006674E3" w:rsidTr="00E17FE8">
        <w:trPr>
          <w:trHeight w:val="315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 xml:space="preserve">9.1 Проверка на минималните изисквания към </w:t>
            </w:r>
            <w:proofErr w:type="spellStart"/>
            <w:r w:rsidR="00935DE8">
              <w:rPr>
                <w:rFonts w:cstheme="minorHAnsi"/>
                <w:b/>
              </w:rPr>
              <w:t>смарт</w:t>
            </w:r>
            <w:proofErr w:type="spellEnd"/>
            <w:r w:rsidR="0061573E">
              <w:rPr>
                <w:rFonts w:cstheme="minorHAnsi"/>
                <w:b/>
              </w:rPr>
              <w:t>-</w:t>
            </w:r>
            <w:r w:rsidR="00935DE8">
              <w:rPr>
                <w:rFonts w:cstheme="minorHAnsi"/>
                <w:b/>
              </w:rPr>
              <w:t>карти</w:t>
            </w:r>
            <w:r w:rsidRPr="006674E3">
              <w:rPr>
                <w:rFonts w:cstheme="minorHAnsi"/>
                <w:b/>
              </w:rPr>
              <w:t>те според техническата документация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1.  Преглед на техническата документация, предоставена от Изпълнителя, за спецификацията на предоставените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-карти</w:t>
            </w:r>
            <w:r w:rsidRPr="006674E3">
              <w:rPr>
                <w:rFonts w:cstheme="minorHAnsi"/>
              </w:rPr>
              <w:t xml:space="preserve"> и съвместимост със стандарти и поддържани </w:t>
            </w:r>
            <w:proofErr w:type="spellStart"/>
            <w:r w:rsidRPr="006674E3">
              <w:rPr>
                <w:rFonts w:cstheme="minorHAnsi"/>
              </w:rPr>
              <w:t>криптографски</w:t>
            </w:r>
            <w:proofErr w:type="spellEnd"/>
            <w:r w:rsidRPr="006674E3">
              <w:rPr>
                <w:rFonts w:cstheme="minorHAnsi"/>
              </w:rPr>
              <w:t xml:space="preserve"> алгоритми.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pStyle w:val="ListParagraph"/>
              <w:numPr>
                <w:ilvl w:val="0"/>
                <w:numId w:val="14"/>
              </w:numPr>
              <w:tabs>
                <w:tab w:val="left" w:pos="321"/>
              </w:tabs>
              <w:spacing w:after="0" w:line="240" w:lineRule="auto"/>
              <w:ind w:left="306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Картите са </w:t>
            </w:r>
            <w:proofErr w:type="spellStart"/>
            <w:r w:rsidRPr="006674E3">
              <w:rPr>
                <w:rFonts w:cstheme="minorHAnsi"/>
              </w:rPr>
              <w:t>небрандирани</w:t>
            </w:r>
            <w:proofErr w:type="spellEnd"/>
            <w:r w:rsidRPr="006674E3">
              <w:rPr>
                <w:rFonts w:cstheme="minorHAnsi"/>
              </w:rPr>
              <w:t xml:space="preserve">, </w:t>
            </w:r>
            <w:proofErr w:type="spellStart"/>
            <w:r w:rsidRPr="006674E3">
              <w:rPr>
                <w:rFonts w:cstheme="minorHAnsi"/>
              </w:rPr>
              <w:t>брандират</w:t>
            </w:r>
            <w:proofErr w:type="spellEnd"/>
            <w:r w:rsidRPr="006674E3">
              <w:rPr>
                <w:rFonts w:cstheme="minorHAnsi"/>
              </w:rPr>
              <w:t xml:space="preserve"> се след одобрение на дизайна от ЦИК.</w:t>
            </w: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tabs>
                <w:tab w:val="left" w:pos="321"/>
              </w:tabs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tabs>
                <w:tab w:val="left" w:pos="321"/>
              </w:tabs>
              <w:spacing w:after="0" w:line="240" w:lineRule="auto"/>
              <w:ind w:left="321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3. Правилното функциониране на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61573E">
              <w:rPr>
                <w:rFonts w:cstheme="minorHAnsi"/>
              </w:rPr>
              <w:t>-</w:t>
            </w:r>
            <w:r w:rsidR="00935DE8">
              <w:rPr>
                <w:rFonts w:cstheme="minorHAnsi"/>
              </w:rPr>
              <w:t>карти</w:t>
            </w:r>
            <w:r w:rsidRPr="006674E3">
              <w:rPr>
                <w:rFonts w:cstheme="minorHAnsi"/>
              </w:rPr>
              <w:t xml:space="preserve">те при използването им се установява при проверката на функционалността на ТУМГ по </w:t>
            </w:r>
            <w:proofErr w:type="spellStart"/>
            <w:r w:rsidRPr="006674E3">
              <w:rPr>
                <w:rFonts w:cstheme="minorHAnsi"/>
              </w:rPr>
              <w:t>по</w:t>
            </w:r>
            <w:proofErr w:type="spellEnd"/>
            <w:r w:rsidRPr="006674E3">
              <w:rPr>
                <w:rFonts w:cstheme="minorHAnsi"/>
              </w:rPr>
              <w:t xml:space="preserve"> т.3. и т.4.</w:t>
            </w:r>
          </w:p>
          <w:p w:rsidR="00680367" w:rsidRPr="006674E3" w:rsidRDefault="00680367">
            <w:pPr>
              <w:spacing w:after="0" w:line="240" w:lineRule="auto"/>
              <w:ind w:left="321" w:hanging="284"/>
              <w:rPr>
                <w:rFonts w:ascii="Calibri" w:hAnsi="Calibri" w:cstheme="minorHAnsi"/>
                <w:sz w:val="24"/>
                <w:szCs w:val="24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Предпоставки:</w:t>
            </w:r>
          </w:p>
          <w:p w:rsidR="00680367" w:rsidRPr="00AE6CBD" w:rsidRDefault="00F36D1A" w:rsidP="00AE6C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</w:rPr>
            </w:pPr>
            <w:r w:rsidRPr="00AE6CBD">
              <w:rPr>
                <w:rFonts w:cstheme="minorHAnsi"/>
              </w:rPr>
              <w:t>Техническа документация, предоставена от Изпълнителя</w:t>
            </w:r>
            <w:r w:rsidR="000C1C09" w:rsidRPr="00AE6CBD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pStyle w:val="ListParagraph"/>
              <w:spacing w:after="0" w:line="252" w:lineRule="auto"/>
              <w:ind w:left="306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 xml:space="preserve">ъгласно техническата документация предоставените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-карти</w:t>
            </w:r>
            <w:r w:rsidR="00F36D1A" w:rsidRPr="006674E3">
              <w:rPr>
                <w:rFonts w:cstheme="minorHAnsi"/>
              </w:rPr>
              <w:t xml:space="preserve"> са </w:t>
            </w:r>
            <w:proofErr w:type="spellStart"/>
            <w:r w:rsidR="00F36D1A" w:rsidRPr="006674E3">
              <w:rPr>
                <w:rFonts w:cstheme="minorHAnsi"/>
              </w:rPr>
              <w:t>Full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size</w:t>
            </w:r>
            <w:proofErr w:type="spellEnd"/>
            <w:r w:rsidR="00F36D1A" w:rsidRPr="006674E3">
              <w:rPr>
                <w:rFonts w:cstheme="minorHAnsi"/>
              </w:rPr>
              <w:t xml:space="preserve">, наличие на декларация за съответствие с изискванията на  ISO/IEC 7816, наличие на сертификат за съответствие с  </w:t>
            </w:r>
            <w:proofErr w:type="spellStart"/>
            <w:r w:rsidR="00F36D1A" w:rsidRPr="006674E3">
              <w:rPr>
                <w:rFonts w:cstheme="minorHAnsi"/>
              </w:rPr>
              <w:t>Common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Criteria</w:t>
            </w:r>
            <w:proofErr w:type="spellEnd"/>
            <w:r w:rsidR="00F36D1A" w:rsidRPr="006674E3">
              <w:rPr>
                <w:rFonts w:cstheme="minorHAnsi"/>
              </w:rPr>
              <w:t xml:space="preserve"> – EAL4+,  ( EN ISO/IEC 15408 -</w:t>
            </w:r>
            <w:r w:rsidR="00F36D1A" w:rsidRPr="006674E3">
              <w:rPr>
                <w:rFonts w:cstheme="minorHAnsi"/>
                <w:b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Information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technology</w:t>
            </w:r>
            <w:proofErr w:type="spellEnd"/>
            <w:r w:rsidR="00F36D1A" w:rsidRPr="006674E3">
              <w:rPr>
                <w:rFonts w:cstheme="minorHAnsi"/>
              </w:rPr>
              <w:t xml:space="preserve"> — </w:t>
            </w:r>
            <w:proofErr w:type="spellStart"/>
            <w:r w:rsidR="00F36D1A" w:rsidRPr="006674E3">
              <w:rPr>
                <w:rFonts w:cstheme="minorHAnsi"/>
              </w:rPr>
              <w:t>Security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techniques</w:t>
            </w:r>
            <w:proofErr w:type="spellEnd"/>
            <w:r w:rsidR="00F36D1A" w:rsidRPr="006674E3">
              <w:rPr>
                <w:rFonts w:cstheme="minorHAnsi"/>
              </w:rPr>
              <w:t xml:space="preserve"> — </w:t>
            </w:r>
            <w:proofErr w:type="spellStart"/>
            <w:r w:rsidR="00F36D1A" w:rsidRPr="006674E3">
              <w:rPr>
                <w:rFonts w:cstheme="minorHAnsi"/>
              </w:rPr>
              <w:t>Evaluation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criteria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for</w:t>
            </w:r>
            <w:proofErr w:type="spellEnd"/>
            <w:r w:rsidR="00F36D1A" w:rsidRPr="006674E3">
              <w:rPr>
                <w:rFonts w:cstheme="minorHAnsi"/>
              </w:rPr>
              <w:t xml:space="preserve"> IT </w:t>
            </w:r>
            <w:proofErr w:type="spellStart"/>
            <w:r w:rsidR="00F36D1A" w:rsidRPr="006674E3">
              <w:rPr>
                <w:rFonts w:cstheme="minorHAnsi"/>
              </w:rPr>
              <w:t>security</w:t>
            </w:r>
            <w:proofErr w:type="spellEnd"/>
            <w:r w:rsidR="00F36D1A" w:rsidRPr="006674E3">
              <w:rPr>
                <w:rFonts w:cstheme="minorHAnsi"/>
                <w:b/>
              </w:rPr>
              <w:t>)</w:t>
            </w:r>
            <w:r w:rsidR="00F36D1A" w:rsidRPr="006674E3">
              <w:rPr>
                <w:rFonts w:cstheme="minorHAnsi"/>
              </w:rPr>
              <w:t xml:space="preserve">,  минимално поддържани </w:t>
            </w:r>
            <w:proofErr w:type="spellStart"/>
            <w:r w:rsidR="00F36D1A" w:rsidRPr="006674E3">
              <w:rPr>
                <w:rFonts w:cstheme="minorHAnsi"/>
              </w:rPr>
              <w:t>криптографски</w:t>
            </w:r>
            <w:proofErr w:type="spellEnd"/>
            <w:r w:rsidR="00F36D1A" w:rsidRPr="006674E3">
              <w:rPr>
                <w:rFonts w:cstheme="minorHAnsi"/>
              </w:rPr>
              <w:t xml:space="preserve"> алгоритми RSA 2048 </w:t>
            </w:r>
            <w:proofErr w:type="spellStart"/>
            <w:r w:rsidR="00F36D1A" w:rsidRPr="006674E3">
              <w:rPr>
                <w:rFonts w:cstheme="minorHAnsi"/>
              </w:rPr>
              <w:t>bits</w:t>
            </w:r>
            <w:proofErr w:type="spellEnd"/>
            <w:r w:rsidR="00F36D1A" w:rsidRPr="006674E3">
              <w:rPr>
                <w:rFonts w:cstheme="minorHAnsi"/>
              </w:rPr>
              <w:t xml:space="preserve">, SHA2-256, наличие на </w:t>
            </w:r>
            <w:proofErr w:type="spellStart"/>
            <w:r w:rsidR="00F36D1A" w:rsidRPr="006674E3">
              <w:rPr>
                <w:rFonts w:cstheme="minorHAnsi"/>
              </w:rPr>
              <w:t>OpenSC</w:t>
            </w:r>
            <w:proofErr w:type="spellEnd"/>
            <w:r w:rsidR="00F36D1A" w:rsidRPr="006674E3">
              <w:rPr>
                <w:rFonts w:cstheme="minorHAnsi"/>
              </w:rPr>
              <w:t xml:space="preserve"> съвместим PKCS#11 </w:t>
            </w:r>
            <w:proofErr w:type="spellStart"/>
            <w:r w:rsidR="00F36D1A" w:rsidRPr="006674E3">
              <w:rPr>
                <w:rFonts w:cstheme="minorHAnsi"/>
              </w:rPr>
              <w:t>provider</w:t>
            </w:r>
            <w:proofErr w:type="spellEnd"/>
            <w:r>
              <w:rPr>
                <w:rFonts w:cstheme="minorHAnsi"/>
              </w:rPr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комплекта към всяка ТУМГ съдържа 5 бр.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-карти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  <w:p w:rsidR="00680367" w:rsidRPr="006674E3" w:rsidRDefault="00AE6CBD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</w:t>
            </w:r>
            <w:r w:rsidR="00935DE8">
              <w:rPr>
                <w:rFonts w:cstheme="minorHAnsi"/>
              </w:rPr>
              <w:t>март</w:t>
            </w:r>
            <w:proofErr w:type="spellEnd"/>
            <w:r w:rsidR="0061573E">
              <w:rPr>
                <w:rFonts w:cstheme="minorHAnsi"/>
              </w:rPr>
              <w:t>-</w:t>
            </w:r>
            <w:r w:rsidR="00935DE8">
              <w:rPr>
                <w:rFonts w:cstheme="minorHAnsi"/>
              </w:rPr>
              <w:t>карти</w:t>
            </w:r>
            <w:r w:rsidR="00F36D1A" w:rsidRPr="006674E3">
              <w:rPr>
                <w:rFonts w:cstheme="minorHAnsi"/>
              </w:rPr>
              <w:t>те изпълняват всички предвидени функции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6674E3">
              <w:rPr>
                <w:rFonts w:cstheme="minorHAnsi"/>
                <w:sz w:val="24"/>
              </w:rPr>
              <w:t>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</w:rPr>
              <w:t>Компонент: Хартия за контролни ролки</w:t>
            </w:r>
          </w:p>
          <w:p w:rsidR="00680367" w:rsidRPr="006674E3" w:rsidRDefault="00F36D1A">
            <w:pPr>
              <w:pStyle w:val="Normal1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6674E3">
              <w:rPr>
                <w:rFonts w:asciiTheme="minorHAnsi" w:eastAsiaTheme="minorHAnsi" w:hAnsiTheme="minorHAnsi" w:cstheme="minorHAnsi"/>
              </w:rPr>
              <w:t>Минимални параметри:  Минимална широчина 79 mm. Необходимия брой ролки, осигуряващ възможност за отпечатване на 1100 контролни разписки и предвидените протоколи от ТУМГ</w:t>
            </w:r>
          </w:p>
          <w:p w:rsidR="00680367" w:rsidRPr="006674E3" w:rsidRDefault="00F36D1A">
            <w:pPr>
              <w:pStyle w:val="Normal1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6674E3">
              <w:rPr>
                <w:rFonts w:asciiTheme="minorHAnsi" w:eastAsiaTheme="minorHAnsi" w:hAnsiTheme="minorHAnsi" w:cstheme="minorHAnsi"/>
              </w:rPr>
              <w:t>Хартията трябва да бъде непрозрачна, защитена с отпечатък на гърба по дизайн, одобрен от ЦИК, както и да няма визуален маркер в края на ролката. Участникът може да предложи и допълнителни мерки за защита на контролните разписки.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</w:rPr>
              <w:t>При съхранение в нормална стайна температура и без пряка слънчева светлина хартията трябва да може да съхрани отпечатъка за период от минимум 5 години – доказано със съответния сертификат.</w:t>
            </w:r>
          </w:p>
          <w:p w:rsidR="00680367" w:rsidRPr="006674E3" w:rsidRDefault="00680367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  <w:b/>
              </w:rPr>
              <w:t>10.1 Проверка на минималните изисквания към хартията за контролните разписки според техническата документация</w:t>
            </w:r>
          </w:p>
          <w:p w:rsidR="00680367" w:rsidRPr="006674E3" w:rsidRDefault="00F36D1A">
            <w:pPr>
              <w:numPr>
                <w:ilvl w:val="0"/>
                <w:numId w:val="19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Проверка на техническата документация, предоставена от Изпълнителя, за тестване на хартия и търсене на ширина и дължина на хартиената ролка, маркер за близък край на хартията, условия на съхранение и продължителност на живота на отпечатания документ</w:t>
            </w:r>
            <w:r w:rsidR="000C1C09">
              <w:rPr>
                <w:rFonts w:cstheme="minorHAnsi"/>
              </w:rPr>
              <w:t>.</w:t>
            </w:r>
          </w:p>
          <w:p w:rsidR="00680367" w:rsidRPr="006674E3" w:rsidRDefault="00F36D1A">
            <w:pPr>
              <w:numPr>
                <w:ilvl w:val="0"/>
                <w:numId w:val="8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Изчисляване необходимата дължина на хартията, за да се отпечатат 1100 контролни разписки и планираните ТУМГ протоколи, като се използват данните, предоставени от Изпълнителя. 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="00F36D1A" w:rsidRPr="006674E3">
              <w:rPr>
                <w:rFonts w:cstheme="minorHAnsi"/>
              </w:rPr>
              <w:t>ължина на контролната разписка,  предоставена от Изпълнителя</w:t>
            </w:r>
            <w:r w:rsidR="000C1C09">
              <w:rPr>
                <w:rFonts w:cstheme="minorHAnsi"/>
              </w:rPr>
              <w:t>;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д</w:t>
            </w:r>
            <w:r w:rsidR="00F36D1A" w:rsidRPr="006674E3">
              <w:rPr>
                <w:rFonts w:cstheme="minorHAnsi"/>
              </w:rPr>
              <w:t>ължина на планираните ТУМГ протоколи,  предоставени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>оличество хартиени ролки, необходимо за събитие, посочено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</w:t>
            </w:r>
            <w:r w:rsidR="00F36D1A" w:rsidRPr="006674E3">
              <w:rPr>
                <w:rFonts w:cstheme="minorHAnsi"/>
              </w:rPr>
              <w:t>ертификат за съответствие с изискването за 5-годишен срок на съхранение на отпечатъка.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техническата документация ширината на ролката хартия е поне 79 mm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техническата документация ролката не включва (</w:t>
            </w:r>
            <w:proofErr w:type="spellStart"/>
            <w:r w:rsidR="00F36D1A" w:rsidRPr="006674E3">
              <w:rPr>
                <w:rFonts w:cstheme="minorHAnsi"/>
              </w:rPr>
              <w:t>Near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End</w:t>
            </w:r>
            <w:proofErr w:type="spellEnd"/>
            <w:r w:rsidR="00F36D1A" w:rsidRPr="006674E3">
              <w:rPr>
                <w:rFonts w:cstheme="minorHAnsi"/>
              </w:rPr>
              <w:t xml:space="preserve"> </w:t>
            </w:r>
            <w:proofErr w:type="spellStart"/>
            <w:r w:rsidR="00F36D1A" w:rsidRPr="006674E3">
              <w:rPr>
                <w:rFonts w:cstheme="minorHAnsi"/>
              </w:rPr>
              <w:t>Of</w:t>
            </w:r>
            <w:proofErr w:type="spellEnd"/>
            <w:r w:rsidR="00F36D1A" w:rsidRPr="006674E3">
              <w:rPr>
                <w:rFonts w:cstheme="minorHAnsi"/>
              </w:rPr>
              <w:t xml:space="preserve"> Paper) маркер за свършване на хартията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="00F36D1A" w:rsidRPr="006674E3">
              <w:rPr>
                <w:rFonts w:cstheme="minorHAnsi"/>
              </w:rPr>
              <w:t>ъгласно техническата документация на печатащото устройство при използване на тази хартия трайността на отпечатъка на документ е 5 години или повече, ако е съхранявана при стайна температура, защитена от пряка слънчева светлина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 xml:space="preserve">оличеството хартиени ролки на събитие, посочено от Изпълнителя, </w:t>
            </w:r>
            <w:r w:rsidR="00F36D1A" w:rsidRPr="006674E3">
              <w:rPr>
                <w:rFonts w:cstheme="minorHAnsi"/>
              </w:rPr>
              <w:lastRenderedPageBreak/>
              <w:t>е достатъчно за отпечатване на 1100 контролни разписки  и планираните за ТУМГ протоколи.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6674E3">
              <w:rPr>
                <w:rFonts w:cstheme="minorHAnsi"/>
                <w:sz w:val="24"/>
              </w:rPr>
              <w:t>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</w:rPr>
              <w:t>Компонент: Мрежови кабели</w:t>
            </w:r>
          </w:p>
          <w:p w:rsidR="00680367" w:rsidRPr="006674E3" w:rsidRDefault="00F36D1A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</w:rPr>
              <w:t>Минимални параметри:  Необходимите захранващи кабели за включване на машината за гласуване в електрическата мрежа</w:t>
            </w:r>
            <w:r w:rsidRPr="006674E3">
              <w:rPr>
                <w:rFonts w:cstheme="minorHAnsi"/>
                <w:sz w:val="24"/>
              </w:rPr>
              <w:br/>
            </w:r>
          </w:p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11.1 Проверка захранващият кабел, доставен с ТУМГ, да позволява свързването й към електрическия контакт</w:t>
            </w:r>
          </w:p>
          <w:p w:rsidR="00680367" w:rsidRPr="006674E3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Проверка на техническата документация, предоставена от Изпълнителя, за електрическите характеристики на ТУМГ и </w:t>
            </w:r>
            <w:r w:rsidR="006674E3" w:rsidRPr="006674E3">
              <w:rPr>
                <w:rFonts w:cstheme="minorHAnsi"/>
              </w:rPr>
              <w:t>комплектност</w:t>
            </w:r>
            <w:r w:rsidR="006674E3">
              <w:rPr>
                <w:rFonts w:cstheme="minorHAnsi"/>
              </w:rPr>
              <w:t>та</w:t>
            </w:r>
            <w:r w:rsidRPr="006674E3">
              <w:rPr>
                <w:rFonts w:cstheme="minorHAnsi"/>
              </w:rPr>
              <w:t xml:space="preserve"> на предоставения кабел и захранващ адаптер (ако има такъв) преди свързване в мрежата.</w:t>
            </w:r>
          </w:p>
          <w:p w:rsidR="00680367" w:rsidRPr="006674E3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Визуална проверка на вида на щепсела в края на кабела, който е предназначен за свързване към електрическия контакт за съвместимост. </w:t>
            </w:r>
          </w:p>
          <w:p w:rsidR="00680367" w:rsidRPr="006674E3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Свързване на кабела или </w:t>
            </w:r>
            <w:proofErr w:type="spellStart"/>
            <w:r w:rsidRPr="006674E3">
              <w:rPr>
                <w:rFonts w:cstheme="minorHAnsi"/>
              </w:rPr>
              <w:t>променливотоковия</w:t>
            </w:r>
            <w:proofErr w:type="spellEnd"/>
            <w:r w:rsidRPr="006674E3">
              <w:rPr>
                <w:rFonts w:cstheme="minorHAnsi"/>
              </w:rPr>
              <w:t xml:space="preserve"> адаптер към ТУМГ и към електрическата мрежа, ако са отделени.</w:t>
            </w:r>
          </w:p>
          <w:p w:rsidR="00680367" w:rsidRPr="006674E3" w:rsidRDefault="00F36D1A">
            <w:pPr>
              <w:pStyle w:val="ListParagraph"/>
              <w:numPr>
                <w:ilvl w:val="3"/>
                <w:numId w:val="8"/>
              </w:numPr>
              <w:tabs>
                <w:tab w:val="left" w:pos="306"/>
              </w:tabs>
              <w:spacing w:after="120" w:line="252" w:lineRule="auto"/>
              <w:ind w:left="306" w:hanging="284"/>
              <w:rPr>
                <w:rFonts w:cstheme="minorHAnsi"/>
              </w:rPr>
            </w:pPr>
            <w:r w:rsidRPr="006674E3">
              <w:rPr>
                <w:rFonts w:cstheme="minorHAnsi"/>
              </w:rPr>
              <w:t>Включване на ТУМГ, както е указано от Изпълнителя, чрез предвидения бутон/ключ.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sz w:val="24"/>
                <w:szCs w:val="24"/>
              </w:rPr>
              <w:t>ТУМГ е в комплектност и монтирана така, както ще се постави в избирателната секция.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ри визуална проверка крайният щепсел на захранващия кабел е тип F (Шуко – CEE 7/3)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>абелът може да се включи към  ел. Контакт</w:t>
            </w:r>
            <w:r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 се включва.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</w:rPr>
              <w:t>Изисквания към хардуерната конфигурация на устройствата  / Компоненти</w:t>
            </w:r>
            <w:r w:rsidRPr="006674E3">
              <w:rPr>
                <w:rFonts w:cstheme="minorHAnsi"/>
                <w:sz w:val="24"/>
              </w:rPr>
              <w:t>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</w:rPr>
              <w:t>Компонент: Автономна работа при прекъсване на електрозахранването</w:t>
            </w:r>
          </w:p>
          <w:p w:rsidR="00680367" w:rsidRPr="006674E3" w:rsidRDefault="00F36D1A" w:rsidP="000C1C09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</w:rPr>
              <w:t>Минимални параметри:  Трябва да дава възможност за автономна работа на устройството минимум 30 мин. при пълен заряд, както и да осигурява защита при подаване на нестандартно напрежение от захранващата мрежа. Допуска се извън корпуса на устройството за бъ</w:t>
            </w:r>
            <w:r w:rsidR="0007123A">
              <w:rPr>
                <w:rFonts w:cstheme="minorHAnsi"/>
                <w:sz w:val="24"/>
              </w:rPr>
              <w:t>д</w:t>
            </w:r>
            <w:r w:rsidRPr="006674E3">
              <w:rPr>
                <w:rFonts w:cstheme="minorHAnsi"/>
                <w:sz w:val="24"/>
              </w:rPr>
              <w:t xml:space="preserve">е </w:t>
            </w:r>
            <w:r w:rsidRPr="006674E3">
              <w:rPr>
                <w:rFonts w:cstheme="minorHAnsi"/>
                <w:sz w:val="24"/>
              </w:rPr>
              <w:lastRenderedPageBreak/>
              <w:t>разположено непрекъсваемото токозахранващо устройство (UPS)</w:t>
            </w:r>
            <w:r w:rsidRPr="006674E3">
              <w:rPr>
                <w:rFonts w:cstheme="minorHAnsi"/>
                <w:sz w:val="24"/>
              </w:rPr>
              <w:br/>
            </w:r>
          </w:p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12.1 Проверка на възможността за автономна работа при прекъсване на електрозахранването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1. Проверка на техническата документация, предоставена от Изпълнителя, за електрическите характеристики на ТУМГ и </w:t>
            </w:r>
            <w:r w:rsidRPr="006674E3">
              <w:rPr>
                <w:rFonts w:cstheme="minorHAnsi"/>
                <w:sz w:val="24"/>
                <w:szCs w:val="24"/>
              </w:rPr>
              <w:t>непрекъсваемото токозахранващо устройство (UPS) в комплектацията</w:t>
            </w:r>
            <w:r w:rsidRPr="006674E3">
              <w:rPr>
                <w:rFonts w:cstheme="minorHAnsi"/>
              </w:rPr>
              <w:t>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 xml:space="preserve">2. Визуална проверка за наличие на </w:t>
            </w:r>
            <w:r w:rsidRPr="006674E3">
              <w:rPr>
                <w:rFonts w:cstheme="minorHAnsi"/>
                <w:sz w:val="24"/>
                <w:szCs w:val="24"/>
              </w:rPr>
              <w:t>непрекъсваемото токозахранващо устройство (UPS) в комплектацията и неговата маркировка.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numPr>
                <w:ilvl w:val="0"/>
                <w:numId w:val="9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Техническа документация, предоставена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9"/>
              </w:numPr>
              <w:spacing w:after="120" w:line="252" w:lineRule="auto"/>
              <w:rPr>
                <w:rFonts w:cstheme="minorHAnsi"/>
              </w:rPr>
            </w:pPr>
            <w:r w:rsidRPr="006674E3">
              <w:rPr>
                <w:rFonts w:cstheme="minorHAnsi"/>
                <w:sz w:val="24"/>
                <w:szCs w:val="24"/>
              </w:rPr>
              <w:t>ТУМГ е в комплектност и монтирана така, както ще се постави в избирателната секция.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319" w:hanging="319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F36D1A" w:rsidRPr="006674E3">
              <w:rPr>
                <w:rFonts w:cstheme="minorHAnsi"/>
              </w:rPr>
              <w:t>апацитета на непрекъсваемото токозахранващо устройство (UPS) позволява автономна работа повече от 30 мин. при декларираната съгласно техническата документация консумацията на ТУМГ</w:t>
            </w:r>
            <w:r w:rsidR="00F36D1A" w:rsidRPr="006674E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680367">
            <w:pPr>
              <w:pStyle w:val="ListParagraph"/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12.2 Проверка в експлоатация за възможност ТУМГ да работи в продължение на 30 минути без електрическо захранване от захранването в електрическия контакт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Проверка за свързването на ТУМГ към електрическия контакт и към </w:t>
            </w:r>
            <w:r w:rsidRPr="006674E3">
              <w:rPr>
                <w:rFonts w:cstheme="minorHAnsi"/>
                <w:sz w:val="24"/>
                <w:szCs w:val="24"/>
              </w:rPr>
              <w:t>непрекъсваемото токозахранващо устройство (UPS)</w:t>
            </w:r>
            <w:r w:rsidRPr="006674E3">
              <w:rPr>
                <w:rFonts w:cstheme="minorHAnsi"/>
              </w:rPr>
              <w:t xml:space="preserve"> едновременно.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Стартиране на тестов процес на гласуване.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Изключване ТУМГ от електрическия контакт.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Продължаване процес на автономна работа 30 минути.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Включване на ТУМГ в електрическия контакт.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 xml:space="preserve">Продължаване на  гласуването. </w:t>
            </w:r>
          </w:p>
          <w:p w:rsidR="00680367" w:rsidRPr="006674E3" w:rsidRDefault="00F36D1A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</w:rPr>
            </w:pPr>
            <w:r w:rsidRPr="006674E3">
              <w:rPr>
                <w:rFonts w:cstheme="minorHAnsi"/>
              </w:rPr>
              <w:br/>
              <w:t xml:space="preserve"> </w:t>
            </w:r>
            <w:r w:rsidRPr="006674E3">
              <w:rPr>
                <w:rFonts w:cstheme="minorHAnsi"/>
                <w:b/>
              </w:rPr>
              <w:t>Предпоставки 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ТУМГ, свързана към захранването в електрическия контакт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="00F36D1A" w:rsidRPr="006674E3">
              <w:rPr>
                <w:rFonts w:cstheme="minorHAnsi"/>
                <w:sz w:val="24"/>
                <w:szCs w:val="24"/>
              </w:rPr>
              <w:t xml:space="preserve">епрекъсваемо токозахранващо устройство (UPS) </w:t>
            </w:r>
            <w:r w:rsidR="00F36D1A" w:rsidRPr="006674E3">
              <w:rPr>
                <w:rFonts w:cstheme="minorHAnsi"/>
              </w:rPr>
              <w:t>със 100% зареждане, свързано според указанията на Изпълнителя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F36D1A" w:rsidRPr="006674E3">
              <w:rPr>
                <w:rFonts w:cstheme="minorHAnsi"/>
              </w:rPr>
              <w:t xml:space="preserve">еобходимите </w:t>
            </w:r>
            <w:proofErr w:type="spellStart"/>
            <w:r w:rsidR="00935DE8">
              <w:rPr>
                <w:rFonts w:cstheme="minorHAnsi"/>
              </w:rPr>
              <w:t>смарт</w:t>
            </w:r>
            <w:proofErr w:type="spellEnd"/>
            <w:r w:rsidR="00935DE8">
              <w:rPr>
                <w:rFonts w:cstheme="minorHAnsi"/>
              </w:rPr>
              <w:t>-карти</w:t>
            </w:r>
            <w:r w:rsidR="00F36D1A" w:rsidRPr="006674E3">
              <w:rPr>
                <w:rFonts w:cstheme="minorHAnsi"/>
              </w:rPr>
              <w:t xml:space="preserve"> за гласуване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F36D1A" w:rsidRPr="006674E3">
              <w:rPr>
                <w:rFonts w:cstheme="minorHAnsi"/>
              </w:rPr>
              <w:t>ктивна сесия по гласуване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="00F36D1A" w:rsidRPr="006674E3">
              <w:rPr>
                <w:rFonts w:cstheme="minorHAnsi"/>
              </w:rPr>
              <w:t>сигуряване на процес от последователно извършване на действия по гласуване.</w:t>
            </w:r>
          </w:p>
          <w:p w:rsidR="00680367" w:rsidRPr="006674E3" w:rsidRDefault="00680367">
            <w:pPr>
              <w:pStyle w:val="ListParagraph"/>
              <w:spacing w:after="0" w:line="240" w:lineRule="auto"/>
              <w:ind w:left="360"/>
              <w:rPr>
                <w:rFonts w:ascii="Calibri" w:hAnsi="Calibri" w:cstheme="minorHAnsi"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ТУМГ продължава да работи нормално, когато захранването от </w:t>
            </w:r>
            <w:r w:rsidRPr="006674E3">
              <w:rPr>
                <w:rFonts w:cstheme="minorHAnsi"/>
              </w:rPr>
              <w:lastRenderedPageBreak/>
              <w:t>електрическия контакт е изключено - няма прекъсване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F36D1A" w:rsidRPr="006674E3">
              <w:rPr>
                <w:rFonts w:cstheme="minorHAnsi"/>
              </w:rPr>
              <w:t>втономна работа с осъществяване на процеси по гласуване може да продължи 30 минути без включване или изключване на ТУМГ</w:t>
            </w:r>
            <w:r>
              <w:rPr>
                <w:rFonts w:cstheme="minorHAnsi"/>
              </w:rPr>
              <w:t>;</w:t>
            </w:r>
          </w:p>
          <w:p w:rsidR="00680367" w:rsidRPr="006674E3" w:rsidRDefault="00F36D1A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ТУМГ продължава да работи нормално, когато захранването от електрическия контакт е отново включено - няма прекъсване</w:t>
            </w:r>
            <w:r w:rsidR="000C1C09">
              <w:rPr>
                <w:rFonts w:cstheme="minorHAnsi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</w:rPr>
              <w:lastRenderedPageBreak/>
              <w:t>Изисквания към хардуерната конфигурация на устройствата  / Компоненти</w:t>
            </w:r>
            <w:r w:rsidRPr="006674E3">
              <w:rPr>
                <w:rFonts w:cstheme="minorHAnsi"/>
                <w:sz w:val="24"/>
              </w:rPr>
              <w:t>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</w:rPr>
              <w:t>Компонент: Пломби/сигурни стикери</w:t>
            </w:r>
          </w:p>
          <w:p w:rsidR="00680367" w:rsidRPr="006674E3" w:rsidRDefault="00F36D1A" w:rsidP="000C1C09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</w:rPr>
              <w:t xml:space="preserve">Минимални параметри:  Според предложеното от </w:t>
            </w:r>
            <w:r w:rsidR="006674E3">
              <w:rPr>
                <w:rFonts w:cstheme="minorHAnsi"/>
                <w:sz w:val="24"/>
              </w:rPr>
              <w:t>Изпълнителя</w:t>
            </w:r>
            <w:r w:rsidRPr="006674E3">
              <w:rPr>
                <w:rFonts w:cstheme="minorHAnsi"/>
                <w:sz w:val="24"/>
              </w:rPr>
              <w:t xml:space="preserve"> техническо решение – средства за идентифициране на опити за отваряне на монолитния защитен корпус. Пломбите/сигурните стикери трябва да бъдат с уникална номерация</w:t>
            </w:r>
            <w:r w:rsidRPr="006674E3">
              <w:rPr>
                <w:rFonts w:cstheme="minorHAnsi"/>
                <w:sz w:val="24"/>
              </w:rPr>
              <w:br/>
            </w:r>
          </w:p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13.1 Проверка на предложеното техническо решение – средства за идентифициране на опити за отваряне на монолитния защитен корпус.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</w:rPr>
            </w:pPr>
            <w:r w:rsidRPr="006674E3">
              <w:rPr>
                <w:rFonts w:cstheme="minorHAnsi"/>
              </w:rPr>
              <w:t xml:space="preserve">1. Проверка на съответствието на номерацията на пломбите/стикери и </w:t>
            </w:r>
            <w:proofErr w:type="spellStart"/>
            <w:r w:rsidRPr="006674E3">
              <w:rPr>
                <w:rFonts w:cstheme="minorHAnsi"/>
              </w:rPr>
              <w:t>разрядността</w:t>
            </w:r>
            <w:proofErr w:type="spellEnd"/>
            <w:r w:rsidRPr="006674E3">
              <w:rPr>
                <w:rFonts w:cstheme="minorHAnsi"/>
              </w:rPr>
              <w:t xml:space="preserve"> ѝ за съ</w:t>
            </w:r>
            <w:r w:rsidR="006674E3">
              <w:rPr>
                <w:rFonts w:cstheme="minorHAnsi"/>
              </w:rPr>
              <w:t>о</w:t>
            </w:r>
            <w:r w:rsidRPr="006674E3">
              <w:rPr>
                <w:rFonts w:cstheme="minorHAnsi"/>
              </w:rPr>
              <w:t>тветствие с необходимия брой еднократни уникални средства.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 xml:space="preserve">2. </w:t>
            </w:r>
            <w:r w:rsidRPr="006674E3">
              <w:rPr>
                <w:rFonts w:cstheme="minorHAnsi"/>
                <w:sz w:val="24"/>
                <w:szCs w:val="24"/>
              </w:rPr>
              <w:t>Проверка дали за всички елементи, за които е предвидена защита, позволяват поставянето на пломба/стикер.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3. </w:t>
            </w:r>
            <w:r w:rsidRPr="006674E3">
              <w:rPr>
                <w:rFonts w:cstheme="minorHAnsi"/>
              </w:rPr>
              <w:t>Проверка за възможността на достъп до з</w:t>
            </w:r>
            <w:r w:rsidRPr="006674E3">
              <w:t>ащитени съставни части /или компоненти/</w:t>
            </w:r>
            <w:r w:rsidRPr="006674E3">
              <w:rPr>
                <w:rFonts w:cstheme="minorHAnsi"/>
              </w:rPr>
              <w:t xml:space="preserve"> без разрушаване на пломба/стикер или без идентифициране на опита</w:t>
            </w:r>
            <w:r w:rsidR="000C1C09">
              <w:rPr>
                <w:rFonts w:cstheme="minorHAnsi"/>
              </w:rPr>
              <w:t>.</w:t>
            </w:r>
            <w:r w:rsidRPr="006674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lastRenderedPageBreak/>
              <w:t>ТУМГ е монтирана така, както ще се постави в избирателната секция</w:t>
            </w:r>
            <w:r w:rsidR="000C1C09">
              <w:rPr>
                <w:rFonts w:cstheme="minorHAnsi"/>
              </w:rPr>
              <w:t>;</w:t>
            </w:r>
            <w:r w:rsidRPr="006674E3">
              <w:rPr>
                <w:rFonts w:cstheme="minorHAnsi"/>
              </w:rPr>
              <w:t xml:space="preserve"> </w:t>
            </w:r>
          </w:p>
          <w:p w:rsidR="00680367" w:rsidRPr="006674E3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ломби/стикери, предоставени от Изпълнителя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F36D1A" w:rsidRPr="006674E3">
              <w:rPr>
                <w:rFonts w:cstheme="minorHAnsi"/>
              </w:rPr>
              <w:t>нструкции за поставяне на пломбите/стикери, предоставени от Изпълнителя</w:t>
            </w:r>
            <w:r w:rsidR="000C1C09">
              <w:rPr>
                <w:rFonts w:cstheme="minorHAnsi"/>
              </w:rPr>
              <w:t>.</w:t>
            </w:r>
            <w:r w:rsidR="00F36D1A" w:rsidRPr="006674E3">
              <w:rPr>
                <w:rFonts w:cstheme="minorHAnsi"/>
              </w:rPr>
              <w:t xml:space="preserve"> 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ind w:left="360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редвидени са достатъчен брой пломбите/стикери с необходимата уникална номерация</w:t>
            </w:r>
            <w:r>
              <w:rPr>
                <w:rFonts w:cstheme="minorHAnsi"/>
              </w:rPr>
              <w:t>;</w:t>
            </w:r>
          </w:p>
          <w:p w:rsidR="00680367" w:rsidRPr="006674E3" w:rsidRDefault="00AE6CBD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F36D1A" w:rsidRPr="006674E3">
              <w:rPr>
                <w:rFonts w:cstheme="minorHAnsi"/>
              </w:rPr>
              <w:t>сички необходими елементи могат да бъдат защитени с пломби/стикери</w:t>
            </w:r>
            <w:r w:rsidR="000C1C09">
              <w:rPr>
                <w:rFonts w:cstheme="minorHAnsi"/>
              </w:rPr>
              <w:t>;</w:t>
            </w:r>
          </w:p>
          <w:p w:rsidR="00680367" w:rsidRPr="006674E3" w:rsidRDefault="00AE6CBD" w:rsidP="00AE6CBD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</w:t>
            </w:r>
            <w:r w:rsidR="00F36D1A" w:rsidRPr="006674E3">
              <w:rPr>
                <w:rFonts w:cstheme="minorHAnsi"/>
              </w:rPr>
              <w:t>редвидените пломби/стикери и начините на поставянето им не позволяват достъп до защитените елементи без разрушаването им</w:t>
            </w:r>
            <w:r>
              <w:rPr>
                <w:rFonts w:cstheme="minorHAnsi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674E3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lastRenderedPageBreak/>
              <w:t>Изисквания към хардуерната конфигурация на устройствата  / Поверителност</w:t>
            </w:r>
            <w:r w:rsidRPr="006674E3">
              <w:rPr>
                <w:rFonts w:cstheme="minorHAnsi"/>
                <w:sz w:val="24"/>
                <w:szCs w:val="24"/>
              </w:rPr>
              <w:t>.</w:t>
            </w: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  <w:sz w:val="24"/>
                <w:szCs w:val="24"/>
              </w:rPr>
              <w:t>Компонент: ПИН пликове</w:t>
            </w:r>
          </w:p>
          <w:p w:rsidR="00680367" w:rsidRPr="006674E3" w:rsidRDefault="00F36D1A" w:rsidP="00935DE8">
            <w:pPr>
              <w:spacing w:after="0" w:line="240" w:lineRule="auto"/>
              <w:rPr>
                <w:sz w:val="20"/>
                <w:szCs w:val="20"/>
              </w:rPr>
            </w:pPr>
            <w:r w:rsidRPr="006674E3">
              <w:rPr>
                <w:rFonts w:cstheme="minorHAnsi"/>
                <w:sz w:val="24"/>
                <w:szCs w:val="24"/>
              </w:rPr>
              <w:t xml:space="preserve">Минимални параметри:  2 бр., непрозрачни, съдържащи потребителски ПИН за </w:t>
            </w:r>
            <w:proofErr w:type="spellStart"/>
            <w:r w:rsidR="00935DE8">
              <w:rPr>
                <w:rFonts w:cstheme="minorHAnsi"/>
                <w:sz w:val="24"/>
                <w:szCs w:val="24"/>
              </w:rPr>
              <w:t>смарт</w:t>
            </w:r>
            <w:proofErr w:type="spellEnd"/>
            <w:r w:rsidR="0061573E">
              <w:rPr>
                <w:rFonts w:cstheme="minorHAnsi"/>
                <w:sz w:val="24"/>
                <w:szCs w:val="24"/>
              </w:rPr>
              <w:t>-</w:t>
            </w:r>
            <w:r w:rsidR="00935DE8">
              <w:rPr>
                <w:rFonts w:cstheme="minorHAnsi"/>
                <w:sz w:val="24"/>
                <w:szCs w:val="24"/>
              </w:rPr>
              <w:t>карти</w:t>
            </w:r>
            <w:r w:rsidRPr="006674E3">
              <w:t>те за управл</w:t>
            </w:r>
            <w:r w:rsidR="006674E3">
              <w:t>е</w:t>
            </w:r>
            <w:r w:rsidRPr="006674E3">
              <w:t>ние</w:t>
            </w:r>
            <w:r w:rsidRPr="006674E3">
              <w:rPr>
                <w:rFonts w:cstheme="minorHAnsi"/>
                <w:sz w:val="24"/>
                <w:szCs w:val="24"/>
              </w:rPr>
              <w:t>.</w:t>
            </w:r>
            <w:r w:rsidRPr="006674E3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F42DFE">
              <w:rPr>
                <w:rFonts w:cstheme="minorHAnsi"/>
                <w:b/>
                <w:sz w:val="24"/>
                <w:szCs w:val="24"/>
              </w:rPr>
              <w:t>/</w:t>
            </w:r>
            <w:r w:rsidR="00F42DFE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674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674E3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674E3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  <w:p w:rsidR="00680367" w:rsidRPr="006674E3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674E3">
              <w:rPr>
                <w:rFonts w:cstheme="minorHAnsi"/>
                <w:b/>
              </w:rPr>
              <w:t>14.1 Проверка на предложените пликове за изискванията за поверителност.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</w:rPr>
            </w:pPr>
            <w:r w:rsidRPr="006674E3">
              <w:rPr>
                <w:rFonts w:cstheme="minorHAnsi"/>
              </w:rPr>
              <w:t>1. Проверка за невъзможност за разпознаване на напечатан тек</w:t>
            </w:r>
            <w:r w:rsidR="006674E3">
              <w:rPr>
                <w:rFonts w:cstheme="minorHAnsi"/>
              </w:rPr>
              <w:t>с</w:t>
            </w:r>
            <w:r w:rsidRPr="006674E3">
              <w:rPr>
                <w:rFonts w:cstheme="minorHAnsi"/>
              </w:rPr>
              <w:t>т през двете страни на плика.</w:t>
            </w:r>
          </w:p>
          <w:p w:rsidR="00680367" w:rsidRPr="006674E3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674E3">
              <w:rPr>
                <w:rFonts w:cstheme="minorHAnsi"/>
              </w:rPr>
              <w:t xml:space="preserve">2. </w:t>
            </w:r>
            <w:r w:rsidRPr="006674E3">
              <w:rPr>
                <w:rFonts w:cstheme="minorHAnsi"/>
                <w:sz w:val="24"/>
                <w:szCs w:val="24"/>
              </w:rPr>
              <w:t xml:space="preserve">Проверка за невъзможност за достъп до съдържанието на плика без разрушаване на </w:t>
            </w:r>
            <w:proofErr w:type="spellStart"/>
            <w:r w:rsidRPr="006674E3">
              <w:rPr>
                <w:rFonts w:cstheme="minorHAnsi"/>
                <w:sz w:val="24"/>
                <w:szCs w:val="24"/>
              </w:rPr>
              <w:t>ц</w:t>
            </w:r>
            <w:r w:rsidR="006674E3">
              <w:rPr>
                <w:rFonts w:cstheme="minorHAnsi"/>
                <w:sz w:val="24"/>
                <w:szCs w:val="24"/>
              </w:rPr>
              <w:t>я</w:t>
            </w:r>
            <w:r w:rsidRPr="006674E3">
              <w:rPr>
                <w:rFonts w:cstheme="minorHAnsi"/>
                <w:sz w:val="24"/>
                <w:szCs w:val="24"/>
              </w:rPr>
              <w:t>лостта</w:t>
            </w:r>
            <w:proofErr w:type="spellEnd"/>
            <w:r w:rsidRPr="006674E3">
              <w:rPr>
                <w:rFonts w:cstheme="minorHAnsi"/>
                <w:sz w:val="24"/>
                <w:szCs w:val="24"/>
              </w:rPr>
              <w:t xml:space="preserve"> му.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674E3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674E3">
              <w:rPr>
                <w:rFonts w:cstheme="minorHAnsi"/>
              </w:rPr>
              <w:t>2 бр. предвидени пликове</w:t>
            </w:r>
            <w:r w:rsidR="000C1C09">
              <w:rPr>
                <w:rFonts w:cstheme="minorHAnsi"/>
              </w:rPr>
              <w:t>;</w:t>
            </w:r>
            <w:r w:rsidRPr="006674E3">
              <w:rPr>
                <w:rFonts w:cstheme="minorHAnsi"/>
              </w:rPr>
              <w:t xml:space="preserve"> </w:t>
            </w:r>
          </w:p>
          <w:p w:rsidR="00680367" w:rsidRPr="006674E3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т</w:t>
            </w:r>
            <w:r w:rsidR="00F36D1A" w:rsidRPr="006674E3">
              <w:rPr>
                <w:rFonts w:cstheme="minorHAnsi"/>
              </w:rPr>
              <w:t>екстово съобщение в предвидения формат и шрифт за потребителски ПИН</w:t>
            </w:r>
            <w:r>
              <w:rPr>
                <w:rFonts w:cstheme="minorHAnsi"/>
              </w:rPr>
              <w:t>.</w:t>
            </w:r>
          </w:p>
          <w:p w:rsidR="00680367" w:rsidRPr="006674E3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674E3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ликовете не позволяват разпознаване на текст, разположен в тях</w:t>
            </w:r>
            <w:r>
              <w:rPr>
                <w:rFonts w:cstheme="minorHAnsi"/>
              </w:rPr>
              <w:t>;</w:t>
            </w:r>
          </w:p>
          <w:p w:rsidR="00680367" w:rsidRPr="006674E3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F36D1A" w:rsidRPr="006674E3">
              <w:rPr>
                <w:rFonts w:cstheme="minorHAnsi"/>
              </w:rPr>
              <w:t>ликовете не позволяват достъп до съдържанието без разрушаване.</w:t>
            </w:r>
          </w:p>
        </w:tc>
        <w:tc>
          <w:tcPr>
            <w:tcW w:w="1694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674E3" w:rsidRDefault="006803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674E3" w:rsidRDefault="00680367"/>
        </w:tc>
      </w:tr>
      <w:tr w:rsidR="00680367" w:rsidRPr="0061573E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1573E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</w:rPr>
              <w:t>Изисквания към хардуерната конфигурация на устройствата  / Поверителност</w:t>
            </w:r>
            <w:r w:rsidRPr="0061573E">
              <w:rPr>
                <w:rFonts w:cstheme="minorHAnsi"/>
                <w:sz w:val="24"/>
              </w:rPr>
              <w:t>.</w:t>
            </w:r>
          </w:p>
          <w:p w:rsidR="00680367" w:rsidRPr="0061573E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  <w:sz w:val="24"/>
              </w:rPr>
              <w:t>Компонент: Непрозрачна урна за контролни разписки</w:t>
            </w:r>
          </w:p>
          <w:p w:rsidR="00680367" w:rsidRPr="0061573E" w:rsidRDefault="00F36D1A" w:rsidP="000C1C09">
            <w:pPr>
              <w:spacing w:after="0" w:line="240" w:lineRule="auto"/>
              <w:rPr>
                <w:sz w:val="20"/>
                <w:szCs w:val="20"/>
              </w:rPr>
            </w:pPr>
            <w:r w:rsidRPr="0061573E">
              <w:rPr>
                <w:rFonts w:cstheme="minorHAnsi"/>
                <w:sz w:val="24"/>
              </w:rPr>
              <w:t>Минимални параметри:  С необходимия обем за съхранение на отпечатаните контролни разписки, отвор за пускането им в горната част и възможност за запечатване</w:t>
            </w:r>
            <w:r w:rsidRPr="0061573E">
              <w:rPr>
                <w:rFonts w:cstheme="minorHAnsi"/>
                <w:sz w:val="24"/>
              </w:rPr>
              <w:br/>
            </w:r>
          </w:p>
        </w:tc>
      </w:tr>
      <w:tr w:rsidR="00680367" w:rsidRPr="0061573E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E17FE8">
              <w:rPr>
                <w:rFonts w:cstheme="minorHAnsi"/>
                <w:b/>
                <w:sz w:val="24"/>
                <w:szCs w:val="24"/>
              </w:rPr>
              <w:t>/</w:t>
            </w:r>
            <w:r w:rsidR="00E17FE8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157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1573E" w:rsidRDefault="00680367"/>
        </w:tc>
      </w:tr>
      <w:tr w:rsidR="00680367" w:rsidRPr="0061573E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ascii="Calibri" w:hAnsi="Calibri"/>
              </w:rPr>
            </w:pPr>
            <w:r w:rsidRPr="0061573E">
              <w:rPr>
                <w:rFonts w:cstheme="minorHAnsi"/>
                <w:b/>
              </w:rPr>
              <w:lastRenderedPageBreak/>
              <w:t xml:space="preserve">15.1 Проверка на конструкцията и изискванията за поверителност на </w:t>
            </w:r>
            <w:r w:rsidRPr="0061573E">
              <w:rPr>
                <w:rFonts w:cstheme="minorHAnsi"/>
                <w:b/>
                <w:sz w:val="24"/>
                <w:szCs w:val="24"/>
              </w:rPr>
              <w:t>урната за контролни разписки</w:t>
            </w:r>
            <w:r w:rsidRPr="0061573E">
              <w:rPr>
                <w:rFonts w:cstheme="minorHAnsi"/>
                <w:b/>
              </w:rPr>
              <w:t>.</w:t>
            </w:r>
          </w:p>
          <w:p w:rsidR="00680367" w:rsidRPr="0061573E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</w:rPr>
            </w:pPr>
            <w:r w:rsidRPr="0061573E">
              <w:rPr>
                <w:rFonts w:cstheme="minorHAnsi"/>
              </w:rPr>
              <w:t>1. Проверка за невъзможност за разпознаване на напечатан тек</w:t>
            </w:r>
            <w:r w:rsidR="0061573E" w:rsidRPr="0061573E">
              <w:rPr>
                <w:rFonts w:cstheme="minorHAnsi"/>
              </w:rPr>
              <w:t>с</w:t>
            </w:r>
            <w:r w:rsidRPr="0061573E">
              <w:rPr>
                <w:rFonts w:cstheme="minorHAnsi"/>
              </w:rPr>
              <w:t>т през стена на урната.</w:t>
            </w:r>
          </w:p>
          <w:p w:rsidR="00680367" w:rsidRPr="0061573E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</w:rPr>
              <w:t xml:space="preserve">2. </w:t>
            </w:r>
            <w:r w:rsidRPr="0061573E">
              <w:rPr>
                <w:rFonts w:cstheme="minorHAnsi"/>
                <w:sz w:val="24"/>
                <w:szCs w:val="24"/>
              </w:rPr>
              <w:t>Проверка на предвидения начин за запечатване на урната и невъзможност за достъп до съдържанието без разрушаване на запечатването.</w:t>
            </w:r>
          </w:p>
          <w:p w:rsidR="00680367" w:rsidRPr="0061573E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  <w:sz w:val="24"/>
                <w:szCs w:val="24"/>
              </w:rPr>
              <w:t>3. Урната трябва да осигурява при максимално запълване разстояние до отвора, равно на дължината на една контролна разписка.</w:t>
            </w:r>
          </w:p>
          <w:p w:rsidR="00680367" w:rsidRPr="00AE6CBD" w:rsidRDefault="00F36D1A">
            <w:pPr>
              <w:spacing w:after="120" w:line="240" w:lineRule="auto"/>
              <w:rPr>
                <w:rFonts w:cstheme="minorHAnsi"/>
                <w:b/>
              </w:rPr>
            </w:pPr>
            <w:r w:rsidRPr="00AE6CBD">
              <w:rPr>
                <w:rFonts w:cstheme="minorHAnsi"/>
                <w:b/>
              </w:rPr>
              <w:t>Предпоставки:</w:t>
            </w:r>
          </w:p>
          <w:p w:rsidR="00680367" w:rsidRPr="0061573E" w:rsidRDefault="00F36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1573E">
              <w:rPr>
                <w:rFonts w:cstheme="minorHAnsi"/>
              </w:rPr>
              <w:t>10 бр. Контролни разписки</w:t>
            </w:r>
            <w:r w:rsidR="000C1C09">
              <w:rPr>
                <w:rFonts w:cstheme="minorHAnsi"/>
              </w:rPr>
              <w:t>;</w:t>
            </w:r>
            <w:r w:rsidRPr="0061573E">
              <w:rPr>
                <w:rFonts w:cstheme="minorHAnsi"/>
              </w:rPr>
              <w:t xml:space="preserve"> </w:t>
            </w:r>
          </w:p>
          <w:p w:rsidR="00680367" w:rsidRPr="0061573E" w:rsidRDefault="000C1C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д</w:t>
            </w:r>
            <w:r w:rsidR="00F36D1A" w:rsidRPr="0061573E">
              <w:rPr>
                <w:rFonts w:cstheme="minorHAnsi"/>
              </w:rPr>
              <w:t>еклариран обем на контролни разписки, за които е предвидена.</w:t>
            </w:r>
          </w:p>
          <w:p w:rsidR="00680367" w:rsidRPr="0061573E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43" w:type="dxa"/>
            <w:shd w:val="clear" w:color="auto" w:fill="auto"/>
          </w:tcPr>
          <w:p w:rsidR="00680367" w:rsidRPr="0061573E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1573E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F36D1A" w:rsidRPr="0061573E">
              <w:rPr>
                <w:rFonts w:cstheme="minorHAnsi"/>
              </w:rPr>
              <w:t>атериалът на стените на урната не позволява разпознаване на текст, плътно прилепен до тях</w:t>
            </w:r>
            <w:r>
              <w:rPr>
                <w:rFonts w:cstheme="minorHAnsi"/>
              </w:rPr>
              <w:t>;</w:t>
            </w:r>
          </w:p>
          <w:p w:rsidR="00680367" w:rsidRPr="0061573E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F36D1A" w:rsidRPr="0061573E">
              <w:rPr>
                <w:rFonts w:cstheme="minorHAnsi"/>
              </w:rPr>
              <w:t>онструкцията не позволяват достъп до съдържанието без разрушаване на запечатването</w:t>
            </w:r>
            <w:r>
              <w:rPr>
                <w:rFonts w:cstheme="minorHAnsi"/>
              </w:rPr>
              <w:t>;</w:t>
            </w:r>
          </w:p>
          <w:p w:rsidR="00680367" w:rsidRPr="0061573E" w:rsidRDefault="000C1C09" w:rsidP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="00F36D1A" w:rsidRPr="0061573E">
              <w:rPr>
                <w:rFonts w:cstheme="minorHAnsi"/>
              </w:rPr>
              <w:t>бемът на урната позволява съхранението на необходимия обем контролни разписки и приемането на разписки до запълването му</w:t>
            </w:r>
            <w:r>
              <w:rPr>
                <w:rFonts w:cstheme="minorHAnsi"/>
              </w:rPr>
              <w:t>;</w:t>
            </w:r>
          </w:p>
        </w:tc>
        <w:tc>
          <w:tcPr>
            <w:tcW w:w="1694" w:type="dxa"/>
            <w:shd w:val="clear" w:color="auto" w:fill="auto"/>
          </w:tcPr>
          <w:p w:rsidR="00680367" w:rsidRPr="0061573E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Pr="0061573E" w:rsidRDefault="00680367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1573E" w:rsidRDefault="00680367"/>
        </w:tc>
      </w:tr>
      <w:tr w:rsidR="00680367" w:rsidRPr="0061573E">
        <w:trPr>
          <w:trHeight w:val="450"/>
        </w:trPr>
        <w:tc>
          <w:tcPr>
            <w:tcW w:w="14611" w:type="dxa"/>
            <w:gridSpan w:val="5"/>
            <w:shd w:val="clear" w:color="auto" w:fill="auto"/>
          </w:tcPr>
          <w:p w:rsidR="00680367" w:rsidRPr="0061573E" w:rsidRDefault="00F36D1A">
            <w:pPr>
              <w:pStyle w:val="ListParagraph"/>
              <w:numPr>
                <w:ilvl w:val="0"/>
                <w:numId w:val="27"/>
              </w:numPr>
              <w:spacing w:after="0" w:line="252" w:lineRule="auto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</w:rPr>
              <w:t>Изисквания към хардуерната конфигурация на устройствата  / Поверителност</w:t>
            </w:r>
            <w:r w:rsidRPr="0061573E">
              <w:rPr>
                <w:rFonts w:cstheme="minorHAnsi"/>
                <w:sz w:val="24"/>
              </w:rPr>
              <w:t>.</w:t>
            </w:r>
          </w:p>
          <w:p w:rsidR="00680367" w:rsidRPr="0061573E" w:rsidRDefault="00F36D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  <w:sz w:val="24"/>
              </w:rPr>
              <w:t>Компонент: Параван за ограничаване на видимостта от странични наблюдатели при гласуване</w:t>
            </w:r>
          </w:p>
          <w:p w:rsidR="00680367" w:rsidRPr="0061573E" w:rsidRDefault="00F36D1A" w:rsidP="000C1C09">
            <w:pPr>
              <w:spacing w:after="0" w:line="240" w:lineRule="auto"/>
              <w:rPr>
                <w:sz w:val="20"/>
                <w:szCs w:val="20"/>
              </w:rPr>
            </w:pPr>
            <w:r w:rsidRPr="0061573E">
              <w:rPr>
                <w:rFonts w:cstheme="minorHAnsi"/>
                <w:sz w:val="24"/>
              </w:rPr>
              <w:t>Минимални параметри:  Непрозрачна преграда, целяща да ограничи видимостта от странични наблюдатели по време на гласуване. Възможно е да бъде и вграден в машината за гласуване или участника да предложи друг равностоен защитен механизъм</w:t>
            </w:r>
            <w:r w:rsidRPr="0061573E">
              <w:rPr>
                <w:rFonts w:cstheme="minorHAnsi"/>
                <w:sz w:val="24"/>
              </w:rPr>
              <w:br/>
            </w:r>
            <w:r w:rsidRPr="0061573E">
              <w:rPr>
                <w:rFonts w:cstheme="minorHAnsi"/>
                <w:sz w:val="24"/>
              </w:rPr>
              <w:br/>
            </w:r>
          </w:p>
        </w:tc>
      </w:tr>
      <w:tr w:rsidR="00680367" w:rsidRPr="0061573E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4043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очакван резултат</w:t>
            </w:r>
            <w:r w:rsidR="00E17FE8">
              <w:rPr>
                <w:rFonts w:cstheme="minorHAnsi"/>
                <w:b/>
                <w:sz w:val="24"/>
                <w:szCs w:val="24"/>
              </w:rPr>
              <w:t>/</w:t>
            </w:r>
            <w:r w:rsidR="00E17FE8">
              <w:rPr>
                <w:b/>
                <w:sz w:val="24"/>
                <w:szCs w:val="24"/>
              </w:rPr>
              <w:t xml:space="preserve"> критерий за оценяване</w:t>
            </w:r>
            <w:r w:rsidRPr="006157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600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573E">
              <w:rPr>
                <w:rFonts w:cstheme="minorHAnsi"/>
                <w:b/>
                <w:sz w:val="24"/>
                <w:szCs w:val="24"/>
              </w:rPr>
              <w:t>Съответствие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Pr="0061573E" w:rsidRDefault="00680367"/>
        </w:tc>
      </w:tr>
      <w:tr w:rsidR="00680367" w:rsidTr="00E17FE8">
        <w:trPr>
          <w:trHeight w:val="450"/>
        </w:trPr>
        <w:tc>
          <w:tcPr>
            <w:tcW w:w="7052" w:type="dxa"/>
            <w:shd w:val="clear" w:color="auto" w:fill="auto"/>
          </w:tcPr>
          <w:p w:rsidR="00680367" w:rsidRPr="0061573E" w:rsidRDefault="00F36D1A">
            <w:pPr>
              <w:spacing w:after="0" w:line="240" w:lineRule="auto"/>
              <w:rPr>
                <w:rFonts w:cstheme="minorHAnsi"/>
                <w:b/>
              </w:rPr>
            </w:pPr>
            <w:r w:rsidRPr="0061573E">
              <w:rPr>
                <w:rFonts w:cstheme="minorHAnsi"/>
                <w:b/>
              </w:rPr>
              <w:t>16.1 Проверка на конструкцията на паравана за ограничаване на видимостта от странични наблюдатели при гласуване.</w:t>
            </w:r>
          </w:p>
          <w:p w:rsidR="00680367" w:rsidRPr="0061573E" w:rsidRDefault="00680367">
            <w:pPr>
              <w:spacing w:after="0" w:line="240" w:lineRule="auto"/>
              <w:rPr>
                <w:rFonts w:ascii="Calibri" w:hAnsi="Calibri" w:cstheme="minorHAnsi"/>
                <w:b/>
              </w:rPr>
            </w:pPr>
          </w:p>
          <w:p w:rsidR="00680367" w:rsidRPr="0061573E" w:rsidRDefault="00F36D1A">
            <w:pPr>
              <w:spacing w:after="120" w:line="240" w:lineRule="auto"/>
              <w:ind w:left="306" w:hanging="306"/>
              <w:rPr>
                <w:rFonts w:cstheme="minorHAnsi"/>
              </w:rPr>
            </w:pPr>
            <w:r w:rsidRPr="0061573E">
              <w:rPr>
                <w:rFonts w:cstheme="minorHAnsi"/>
              </w:rPr>
              <w:t>1. Проверка на избраното конструктивно решение за паравана за ограничаване на видимостта - вградено или подвижно.</w:t>
            </w:r>
          </w:p>
          <w:p w:rsidR="00680367" w:rsidRPr="0061573E" w:rsidRDefault="00F36D1A">
            <w:pPr>
              <w:spacing w:after="120" w:line="240" w:lineRule="auto"/>
              <w:ind w:left="306" w:hanging="306"/>
              <w:rPr>
                <w:rFonts w:cstheme="minorHAnsi"/>
              </w:rPr>
            </w:pPr>
            <w:r w:rsidRPr="0061573E">
              <w:rPr>
                <w:rFonts w:cstheme="minorHAnsi"/>
              </w:rPr>
              <w:t>2. Ако е нужно,  инсталиране на паравана, съгласно инструкцията на Изпълнителя.</w:t>
            </w:r>
          </w:p>
          <w:p w:rsidR="00680367" w:rsidRPr="0061573E" w:rsidRDefault="00F36D1A">
            <w:pPr>
              <w:pStyle w:val="ListParagraph"/>
              <w:tabs>
                <w:tab w:val="left" w:pos="2148"/>
              </w:tabs>
              <w:spacing w:after="120" w:line="252" w:lineRule="auto"/>
              <w:ind w:left="306" w:hanging="306"/>
              <w:rPr>
                <w:rFonts w:cstheme="minorHAnsi"/>
                <w:sz w:val="24"/>
                <w:szCs w:val="24"/>
              </w:rPr>
            </w:pPr>
            <w:r w:rsidRPr="0061573E">
              <w:rPr>
                <w:rFonts w:cstheme="minorHAnsi"/>
              </w:rPr>
              <w:lastRenderedPageBreak/>
              <w:t>3.  Проверка на ъгъла на защита съглас</w:t>
            </w:r>
            <w:r w:rsidR="0061573E" w:rsidRPr="0061573E">
              <w:rPr>
                <w:rFonts w:cstheme="minorHAnsi"/>
              </w:rPr>
              <w:t>н</w:t>
            </w:r>
            <w:r w:rsidRPr="0061573E">
              <w:rPr>
                <w:rFonts w:cstheme="minorHAnsi"/>
              </w:rPr>
              <w:t xml:space="preserve">о избраното конструктивно решение и документацията на Изпълнителя. </w:t>
            </w:r>
            <w:r w:rsidRPr="0061573E">
              <w:rPr>
                <w:rFonts w:cstheme="minorHAnsi"/>
              </w:rPr>
              <w:br/>
            </w:r>
          </w:p>
          <w:p w:rsidR="00680367" w:rsidRPr="0061573E" w:rsidRDefault="00F36D1A">
            <w:pPr>
              <w:spacing w:after="120" w:line="240" w:lineRule="auto"/>
              <w:rPr>
                <w:rFonts w:cstheme="minorHAnsi"/>
              </w:rPr>
            </w:pPr>
            <w:r w:rsidRPr="0061573E">
              <w:rPr>
                <w:rFonts w:cstheme="minorHAnsi"/>
                <w:b/>
              </w:rPr>
              <w:t xml:space="preserve">Предпоставки : </w:t>
            </w:r>
          </w:p>
          <w:p w:rsidR="00680367" w:rsidRPr="0061573E" w:rsidRDefault="00F36D1A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61573E">
              <w:rPr>
                <w:rFonts w:cstheme="minorHAnsi"/>
              </w:rPr>
              <w:t>ТУМГ с включена сесия за гласуване</w:t>
            </w:r>
            <w:r w:rsidR="00AE6CBD">
              <w:rPr>
                <w:rFonts w:cstheme="minorHAnsi"/>
              </w:rPr>
              <w:t>;</w:t>
            </w:r>
          </w:p>
          <w:p w:rsidR="00680367" w:rsidRPr="0061573E" w:rsidRDefault="00AE6CBD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ф</w:t>
            </w:r>
            <w:r w:rsidR="00F36D1A" w:rsidRPr="0061573E">
              <w:rPr>
                <w:rFonts w:cstheme="minorHAnsi"/>
              </w:rPr>
              <w:t xml:space="preserve">игура </w:t>
            </w:r>
            <w:r>
              <w:rPr>
                <w:rFonts w:cstheme="minorHAnsi"/>
              </w:rPr>
              <w:t>–</w:t>
            </w:r>
            <w:r w:rsidR="00F36D1A" w:rsidRPr="0061573E">
              <w:rPr>
                <w:rFonts w:cstheme="minorHAnsi"/>
              </w:rPr>
              <w:t xml:space="preserve"> гласоподавател</w:t>
            </w:r>
            <w:r>
              <w:rPr>
                <w:rFonts w:cstheme="minorHAnsi"/>
              </w:rPr>
              <w:t>.</w:t>
            </w:r>
          </w:p>
        </w:tc>
        <w:tc>
          <w:tcPr>
            <w:tcW w:w="4043" w:type="dxa"/>
            <w:shd w:val="clear" w:color="auto" w:fill="auto"/>
          </w:tcPr>
          <w:p w:rsidR="00680367" w:rsidRPr="0061573E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1573E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1573E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1573E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  <w:p w:rsidR="00680367" w:rsidRPr="0061573E" w:rsidRDefault="000C1C09">
            <w:pPr>
              <w:numPr>
                <w:ilvl w:val="0"/>
                <w:numId w:val="13"/>
              </w:num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F36D1A" w:rsidRPr="0061573E">
              <w:rPr>
                <w:rFonts w:cstheme="minorHAnsi"/>
              </w:rPr>
              <w:t xml:space="preserve">збраното конструктивно решение на паравана ограничава видимостта </w:t>
            </w:r>
            <w:r w:rsidR="00F36D1A" w:rsidRPr="0061573E">
              <w:rPr>
                <w:rFonts w:cstheme="minorHAnsi"/>
              </w:rPr>
              <w:lastRenderedPageBreak/>
              <w:t>от странични наблюдатели по време на гласуване.</w:t>
            </w:r>
          </w:p>
          <w:p w:rsidR="00680367" w:rsidRDefault="00680367">
            <w:pPr>
              <w:spacing w:after="12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694" w:type="dxa"/>
            <w:shd w:val="clear" w:color="auto" w:fill="auto"/>
          </w:tcPr>
          <w:p w:rsidR="00680367" w:rsidRDefault="006803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80367" w:rsidRDefault="00680367">
            <w:pPr>
              <w:spacing w:after="0" w:line="240" w:lineRule="auto"/>
              <w:rPr>
                <w:sz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67" w:rsidRDefault="00680367"/>
        </w:tc>
      </w:tr>
    </w:tbl>
    <w:p w:rsidR="00680367" w:rsidRDefault="0068036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80367" w:rsidRDefault="00680367">
      <w:pPr>
        <w:pStyle w:val="ListParagraph"/>
        <w:spacing w:after="0" w:line="240" w:lineRule="auto"/>
        <w:ind w:left="142"/>
        <w:rPr>
          <w:rFonts w:cstheme="minorHAnsi"/>
          <w:b/>
          <w:sz w:val="24"/>
          <w:szCs w:val="24"/>
        </w:rPr>
      </w:pPr>
    </w:p>
    <w:p w:rsidR="00680367" w:rsidRDefault="00680367"/>
    <w:sectPr w:rsidR="00680367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5A" w:rsidRDefault="00D9785A">
      <w:pPr>
        <w:spacing w:after="0" w:line="240" w:lineRule="auto"/>
      </w:pPr>
      <w:r>
        <w:separator/>
      </w:r>
    </w:p>
  </w:endnote>
  <w:endnote w:type="continuationSeparator" w:id="0">
    <w:p w:rsidR="00D9785A" w:rsidRDefault="00D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491214"/>
      <w:docPartObj>
        <w:docPartGallery w:val="Page Numbers (Bottom of Page)"/>
        <w:docPartUnique/>
      </w:docPartObj>
    </w:sdtPr>
    <w:sdtEndPr/>
    <w:sdtContent>
      <w:p w:rsidR="000C1C09" w:rsidRDefault="000C1C09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17FE8">
          <w:rPr>
            <w:noProof/>
          </w:rPr>
          <w:t>17</w:t>
        </w:r>
        <w:r>
          <w:fldChar w:fldCharType="end"/>
        </w:r>
      </w:p>
    </w:sdtContent>
  </w:sdt>
  <w:p w:rsidR="000C1C09" w:rsidRDefault="000C1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5A" w:rsidRDefault="00D9785A">
      <w:pPr>
        <w:spacing w:after="0" w:line="240" w:lineRule="auto"/>
      </w:pPr>
      <w:r>
        <w:separator/>
      </w:r>
    </w:p>
  </w:footnote>
  <w:footnote w:type="continuationSeparator" w:id="0">
    <w:p w:rsidR="00D9785A" w:rsidRDefault="00D9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283"/>
    <w:multiLevelType w:val="multilevel"/>
    <w:tmpl w:val="F2CE54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D0234E"/>
    <w:multiLevelType w:val="multilevel"/>
    <w:tmpl w:val="1E669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">
    <w:nsid w:val="0E080B01"/>
    <w:multiLevelType w:val="multilevel"/>
    <w:tmpl w:val="BB786CFC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3">
    <w:nsid w:val="10390091"/>
    <w:multiLevelType w:val="multilevel"/>
    <w:tmpl w:val="D3785F9A"/>
    <w:lvl w:ilvl="0">
      <w:start w:val="1"/>
      <w:numFmt w:val="lowerLetter"/>
      <w:lvlText w:val="%1."/>
      <w:lvlJc w:val="left"/>
      <w:pPr>
        <w:ind w:left="1648" w:hanging="360"/>
      </w:pPr>
      <w:rPr>
        <w:b w:val="0"/>
        <w:sz w:val="24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B5659DE"/>
    <w:multiLevelType w:val="multilevel"/>
    <w:tmpl w:val="D8BC3108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1D50425B"/>
    <w:multiLevelType w:val="multilevel"/>
    <w:tmpl w:val="BD64176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68B"/>
    <w:multiLevelType w:val="multilevel"/>
    <w:tmpl w:val="A696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alibri" w:cs="Calibri"/>
        <w:b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2D19CA"/>
    <w:multiLevelType w:val="multilevel"/>
    <w:tmpl w:val="379021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A3F"/>
    <w:multiLevelType w:val="multilevel"/>
    <w:tmpl w:val="65D6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147279A"/>
    <w:multiLevelType w:val="multilevel"/>
    <w:tmpl w:val="18503C5A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0">
    <w:nsid w:val="37225EE3"/>
    <w:multiLevelType w:val="multilevel"/>
    <w:tmpl w:val="DFE4B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371FE6"/>
    <w:multiLevelType w:val="multilevel"/>
    <w:tmpl w:val="C8C0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CEF7063"/>
    <w:multiLevelType w:val="multilevel"/>
    <w:tmpl w:val="B6F2D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F4B668E"/>
    <w:multiLevelType w:val="multilevel"/>
    <w:tmpl w:val="264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D05EEB"/>
    <w:multiLevelType w:val="multilevel"/>
    <w:tmpl w:val="56767134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sz w:val="24"/>
      </w:rPr>
    </w:lvl>
    <w:lvl w:ilvl="1">
      <w:start w:val="5"/>
      <w:numFmt w:val="decimal"/>
      <w:lvlText w:val="%1.%2."/>
      <w:lvlJc w:val="left"/>
      <w:pPr>
        <w:ind w:left="11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eastAsia="Calibri"/>
      </w:rPr>
    </w:lvl>
  </w:abstractNum>
  <w:abstractNum w:abstractNumId="15">
    <w:nsid w:val="40025642"/>
    <w:multiLevelType w:val="multilevel"/>
    <w:tmpl w:val="F6BAE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32E0238"/>
    <w:multiLevelType w:val="multilevel"/>
    <w:tmpl w:val="BFAA9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48A3779"/>
    <w:multiLevelType w:val="hybridMultilevel"/>
    <w:tmpl w:val="2ECCBE4E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8">
    <w:nsid w:val="46560CF4"/>
    <w:multiLevelType w:val="multilevel"/>
    <w:tmpl w:val="5686C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>
    <w:nsid w:val="4786110D"/>
    <w:multiLevelType w:val="multilevel"/>
    <w:tmpl w:val="A6FE00CC"/>
    <w:lvl w:ilvl="0">
      <w:start w:val="1"/>
      <w:numFmt w:val="bullet"/>
      <w:lvlText w:val=""/>
      <w:lvlJc w:val="left"/>
      <w:pPr>
        <w:ind w:left="6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20">
    <w:nsid w:val="4A625B5E"/>
    <w:multiLevelType w:val="multilevel"/>
    <w:tmpl w:val="CCB48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B143D2"/>
    <w:multiLevelType w:val="hybridMultilevel"/>
    <w:tmpl w:val="E6BEC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11634"/>
    <w:multiLevelType w:val="multilevel"/>
    <w:tmpl w:val="D53CE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3">
    <w:nsid w:val="61293FA4"/>
    <w:multiLevelType w:val="multilevel"/>
    <w:tmpl w:val="830A819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D4666"/>
    <w:multiLevelType w:val="multilevel"/>
    <w:tmpl w:val="03AE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ED6D0E"/>
    <w:multiLevelType w:val="multilevel"/>
    <w:tmpl w:val="DEA01C90"/>
    <w:lvl w:ilvl="0">
      <w:start w:val="1"/>
      <w:numFmt w:val="lowerLetter"/>
      <w:lvlText w:val="%1."/>
      <w:lvlJc w:val="left"/>
      <w:pPr>
        <w:ind w:left="1648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2368" w:hanging="18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ind w:left="3088" w:hanging="360"/>
      </w:pPr>
      <w:rPr>
        <w:rFonts w:cs="Arial"/>
      </w:rPr>
    </w:lvl>
    <w:lvl w:ilvl="3">
      <w:start w:val="1"/>
      <w:numFmt w:val="lowerLetter"/>
      <w:lvlText w:val="%4."/>
      <w:lvlJc w:val="left"/>
      <w:pPr>
        <w:ind w:left="3808" w:hanging="360"/>
      </w:pPr>
      <w:rPr>
        <w:rFonts w:cs="Arial"/>
      </w:rPr>
    </w:lvl>
    <w:lvl w:ilvl="4">
      <w:start w:val="1"/>
      <w:numFmt w:val="lowerRoman"/>
      <w:lvlText w:val="%5."/>
      <w:lvlJc w:val="right"/>
      <w:pPr>
        <w:ind w:left="4528" w:hanging="180"/>
      </w:pPr>
      <w:rPr>
        <w:rFonts w:cs="Arial"/>
      </w:rPr>
    </w:lvl>
    <w:lvl w:ilvl="5">
      <w:start w:val="1"/>
      <w:numFmt w:val="decimal"/>
      <w:lvlText w:val="%6."/>
      <w:lvlJc w:val="left"/>
      <w:pPr>
        <w:ind w:left="5248" w:hanging="360"/>
      </w:pPr>
      <w:rPr>
        <w:rFonts w:cs="Arial"/>
      </w:rPr>
    </w:lvl>
    <w:lvl w:ilvl="6">
      <w:start w:val="1"/>
      <w:numFmt w:val="lowerLetter"/>
      <w:lvlText w:val="%7."/>
      <w:lvlJc w:val="left"/>
      <w:pPr>
        <w:ind w:left="5968" w:hanging="360"/>
      </w:pPr>
      <w:rPr>
        <w:rFonts w:cs="Arial"/>
      </w:rPr>
    </w:lvl>
    <w:lvl w:ilvl="7">
      <w:start w:val="1"/>
      <w:numFmt w:val="lowerRoman"/>
      <w:lvlText w:val="%8."/>
      <w:lvlJc w:val="right"/>
      <w:pPr>
        <w:ind w:left="6688" w:hanging="18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6">
    <w:nsid w:val="679B653E"/>
    <w:multiLevelType w:val="multilevel"/>
    <w:tmpl w:val="6C349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B7649C"/>
    <w:multiLevelType w:val="multilevel"/>
    <w:tmpl w:val="1E7AA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24246E"/>
    <w:multiLevelType w:val="multilevel"/>
    <w:tmpl w:val="AA66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4AEA"/>
    <w:multiLevelType w:val="multilevel"/>
    <w:tmpl w:val="56207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5"/>
  </w:num>
  <w:num w:numId="5">
    <w:abstractNumId w:val="22"/>
  </w:num>
  <w:num w:numId="6">
    <w:abstractNumId w:val="4"/>
  </w:num>
  <w:num w:numId="7">
    <w:abstractNumId w:val="18"/>
  </w:num>
  <w:num w:numId="8">
    <w:abstractNumId w:val="24"/>
  </w:num>
  <w:num w:numId="9">
    <w:abstractNumId w:val="16"/>
  </w:num>
  <w:num w:numId="10">
    <w:abstractNumId w:val="20"/>
  </w:num>
  <w:num w:numId="11">
    <w:abstractNumId w:val="11"/>
  </w:num>
  <w:num w:numId="12">
    <w:abstractNumId w:val="29"/>
  </w:num>
  <w:num w:numId="13">
    <w:abstractNumId w:val="8"/>
  </w:num>
  <w:num w:numId="14">
    <w:abstractNumId w:val="0"/>
  </w:num>
  <w:num w:numId="15">
    <w:abstractNumId w:val="9"/>
  </w:num>
  <w:num w:numId="16">
    <w:abstractNumId w:val="25"/>
  </w:num>
  <w:num w:numId="17">
    <w:abstractNumId w:val="3"/>
  </w:num>
  <w:num w:numId="18">
    <w:abstractNumId w:val="2"/>
  </w:num>
  <w:num w:numId="19">
    <w:abstractNumId w:val="13"/>
  </w:num>
  <w:num w:numId="20">
    <w:abstractNumId w:val="26"/>
  </w:num>
  <w:num w:numId="21">
    <w:abstractNumId w:val="19"/>
  </w:num>
  <w:num w:numId="22">
    <w:abstractNumId w:val="27"/>
  </w:num>
  <w:num w:numId="23">
    <w:abstractNumId w:val="14"/>
  </w:num>
  <w:num w:numId="24">
    <w:abstractNumId w:val="5"/>
  </w:num>
  <w:num w:numId="25">
    <w:abstractNumId w:val="28"/>
  </w:num>
  <w:num w:numId="26">
    <w:abstractNumId w:val="23"/>
  </w:num>
  <w:num w:numId="27">
    <w:abstractNumId w:val="7"/>
  </w:num>
  <w:num w:numId="28">
    <w:abstractNumId w:val="12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7"/>
    <w:rsid w:val="0007123A"/>
    <w:rsid w:val="000C1C09"/>
    <w:rsid w:val="000D3BD3"/>
    <w:rsid w:val="00127BB3"/>
    <w:rsid w:val="002238A2"/>
    <w:rsid w:val="003520C5"/>
    <w:rsid w:val="006121C3"/>
    <w:rsid w:val="0061573E"/>
    <w:rsid w:val="006674E3"/>
    <w:rsid w:val="00680367"/>
    <w:rsid w:val="006F4EB4"/>
    <w:rsid w:val="007C487B"/>
    <w:rsid w:val="008D2728"/>
    <w:rsid w:val="00935DE8"/>
    <w:rsid w:val="00AE6CBD"/>
    <w:rsid w:val="00B71C5B"/>
    <w:rsid w:val="00C97ED3"/>
    <w:rsid w:val="00D216AD"/>
    <w:rsid w:val="00D9785A"/>
    <w:rsid w:val="00E17FE8"/>
    <w:rsid w:val="00F34787"/>
    <w:rsid w:val="00F36D1A"/>
    <w:rsid w:val="00F42DFE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28E6-2BC4-4CA6-9F13-B63B623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90"/>
    <w:pPr>
      <w:suppressAutoHyphens/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566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56690"/>
    <w:rPr>
      <w:rFonts w:asciiTheme="minorHAnsi" w:hAnsiTheme="minorHAnsi" w:cstheme="minorBidi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669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C5C0C"/>
    <w:rPr>
      <w:rFonts w:asciiTheme="minorHAnsi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b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Symbol"/>
      <w:b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b w:val="0"/>
      <w:sz w:val="24"/>
    </w:rPr>
  </w:style>
  <w:style w:type="character" w:customStyle="1" w:styleId="ListLabel127">
    <w:name w:val="ListLabel 127"/>
    <w:qFormat/>
    <w:rPr>
      <w:rFonts w:cs="Arial"/>
      <w:b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cs="Arial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rFonts w:cs="Arial"/>
      <w:b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Calibri"/>
      <w:sz w:val="24"/>
    </w:rPr>
  </w:style>
  <w:style w:type="character" w:customStyle="1" w:styleId="ListLabel154">
    <w:name w:val="ListLabel 154"/>
    <w:qFormat/>
    <w:rPr>
      <w:rFonts w:eastAsia="Calibri"/>
    </w:rPr>
  </w:style>
  <w:style w:type="character" w:customStyle="1" w:styleId="ListLabel155">
    <w:name w:val="ListLabel 155"/>
    <w:qFormat/>
    <w:rPr>
      <w:rFonts w:eastAsia="Calibri"/>
    </w:rPr>
  </w:style>
  <w:style w:type="character" w:customStyle="1" w:styleId="ListLabel156">
    <w:name w:val="ListLabel 156"/>
    <w:qFormat/>
    <w:rPr>
      <w:rFonts w:eastAsia="Calibri"/>
    </w:rPr>
  </w:style>
  <w:style w:type="character" w:customStyle="1" w:styleId="ListLabel157">
    <w:name w:val="ListLabel 157"/>
    <w:qFormat/>
    <w:rPr>
      <w:rFonts w:eastAsia="Calibri"/>
    </w:rPr>
  </w:style>
  <w:style w:type="character" w:customStyle="1" w:styleId="ListLabel158">
    <w:name w:val="ListLabel 158"/>
    <w:qFormat/>
    <w:rPr>
      <w:rFonts w:eastAsia="Calibri"/>
    </w:rPr>
  </w:style>
  <w:style w:type="character" w:customStyle="1" w:styleId="ListLabel159">
    <w:name w:val="ListLabel 159"/>
    <w:qFormat/>
    <w:rPr>
      <w:rFonts w:eastAsia="Calibri"/>
    </w:rPr>
  </w:style>
  <w:style w:type="character" w:customStyle="1" w:styleId="ListLabel160">
    <w:name w:val="ListLabel 160"/>
    <w:qFormat/>
    <w:rPr>
      <w:rFonts w:eastAsia="Calibri"/>
    </w:rPr>
  </w:style>
  <w:style w:type="character" w:customStyle="1" w:styleId="ListLabel161">
    <w:name w:val="ListLabel 161"/>
    <w:qFormat/>
    <w:rPr>
      <w:rFonts w:eastAsia="Calibri"/>
    </w:rPr>
  </w:style>
  <w:style w:type="character" w:customStyle="1" w:styleId="ListLabel162">
    <w:name w:val="ListLabel 162"/>
    <w:qFormat/>
    <w:rPr>
      <w:rFonts w:eastAsia="Calibri"/>
    </w:rPr>
  </w:style>
  <w:style w:type="character" w:customStyle="1" w:styleId="ListLabel163">
    <w:name w:val="ListLabel 163"/>
    <w:qFormat/>
    <w:rPr>
      <w:rFonts w:eastAsia="Calibri"/>
      <w:b/>
    </w:rPr>
  </w:style>
  <w:style w:type="character" w:customStyle="1" w:styleId="ListLabel164">
    <w:name w:val="ListLabel 164"/>
    <w:qFormat/>
    <w:rPr>
      <w:rFonts w:eastAsia="Calibri"/>
    </w:rPr>
  </w:style>
  <w:style w:type="character" w:customStyle="1" w:styleId="ListLabel165">
    <w:name w:val="ListLabel 165"/>
    <w:qFormat/>
    <w:rPr>
      <w:rFonts w:eastAsia="Calibri"/>
    </w:rPr>
  </w:style>
  <w:style w:type="character" w:customStyle="1" w:styleId="ListLabel166">
    <w:name w:val="ListLabel 166"/>
    <w:qFormat/>
    <w:rPr>
      <w:rFonts w:eastAsia="Calibri"/>
    </w:rPr>
  </w:style>
  <w:style w:type="character" w:customStyle="1" w:styleId="ListLabel167">
    <w:name w:val="ListLabel 167"/>
    <w:qFormat/>
    <w:rPr>
      <w:rFonts w:eastAsia="Calibri"/>
    </w:rPr>
  </w:style>
  <w:style w:type="character" w:customStyle="1" w:styleId="ListLabel168">
    <w:name w:val="ListLabel 168"/>
    <w:qFormat/>
    <w:rPr>
      <w:rFonts w:eastAsia="Calibri"/>
    </w:rPr>
  </w:style>
  <w:style w:type="character" w:customStyle="1" w:styleId="ListLabel169">
    <w:name w:val="ListLabel 169"/>
    <w:qFormat/>
    <w:rPr>
      <w:rFonts w:eastAsia="Calibri"/>
    </w:rPr>
  </w:style>
  <w:style w:type="character" w:customStyle="1" w:styleId="ListLabel170">
    <w:name w:val="ListLabel 170"/>
    <w:qFormat/>
    <w:rPr>
      <w:rFonts w:eastAsia="Calibri"/>
    </w:rPr>
  </w:style>
  <w:style w:type="character" w:customStyle="1" w:styleId="ListLabel171">
    <w:name w:val="ListLabel 171"/>
    <w:qFormat/>
    <w:rPr>
      <w:rFonts w:eastAsia="Calibri"/>
    </w:rPr>
  </w:style>
  <w:style w:type="character" w:customStyle="1" w:styleId="ListLabel172">
    <w:name w:val="ListLabel 172"/>
    <w:qFormat/>
    <w:rPr>
      <w:rFonts w:eastAsia="Calibri"/>
    </w:rPr>
  </w:style>
  <w:style w:type="character" w:customStyle="1" w:styleId="ListLabel173">
    <w:name w:val="ListLabel 173"/>
    <w:qFormat/>
    <w:rPr>
      <w:rFonts w:eastAsia="Calibri"/>
    </w:rPr>
  </w:style>
  <w:style w:type="character" w:customStyle="1" w:styleId="ListLabel174">
    <w:name w:val="ListLabel 174"/>
    <w:qFormat/>
    <w:rPr>
      <w:rFonts w:eastAsia="Calibri"/>
    </w:rPr>
  </w:style>
  <w:style w:type="character" w:customStyle="1" w:styleId="ListLabel175">
    <w:name w:val="ListLabel 175"/>
    <w:qFormat/>
    <w:rPr>
      <w:rFonts w:eastAsia="Calibri"/>
    </w:rPr>
  </w:style>
  <w:style w:type="character" w:customStyle="1" w:styleId="ListLabel176">
    <w:name w:val="ListLabel 176"/>
    <w:qFormat/>
    <w:rPr>
      <w:rFonts w:eastAsia="Calibri"/>
    </w:rPr>
  </w:style>
  <w:style w:type="character" w:customStyle="1" w:styleId="ListLabel177">
    <w:name w:val="ListLabel 177"/>
    <w:qFormat/>
    <w:rPr>
      <w:rFonts w:eastAsia="Calibri"/>
    </w:rPr>
  </w:style>
  <w:style w:type="character" w:customStyle="1" w:styleId="ListLabel178">
    <w:name w:val="ListLabel 178"/>
    <w:qFormat/>
    <w:rPr>
      <w:rFonts w:eastAsia="Calibri"/>
    </w:rPr>
  </w:style>
  <w:style w:type="character" w:customStyle="1" w:styleId="ListLabel179">
    <w:name w:val="ListLabel 179"/>
    <w:qFormat/>
    <w:rPr>
      <w:rFonts w:eastAsia="Calibri"/>
    </w:rPr>
  </w:style>
  <w:style w:type="character" w:customStyle="1" w:styleId="ListLabel180">
    <w:name w:val="ListLabel 180"/>
    <w:qFormat/>
    <w:rPr>
      <w:rFonts w:eastAsia="Calibri"/>
    </w:rPr>
  </w:style>
  <w:style w:type="character" w:customStyle="1" w:styleId="ListLabel181">
    <w:name w:val="ListLabel 181"/>
    <w:qFormat/>
    <w:rPr>
      <w:rFonts w:eastAsia="Calibri"/>
      <w:b/>
      <w:sz w:val="24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eastAsia="Calibri"/>
    </w:rPr>
  </w:style>
  <w:style w:type="character" w:customStyle="1" w:styleId="ListLabel192">
    <w:name w:val="ListLabel 192"/>
    <w:qFormat/>
    <w:rPr>
      <w:rFonts w:eastAsia="Calibri"/>
    </w:rPr>
  </w:style>
  <w:style w:type="character" w:customStyle="1" w:styleId="ListLabel193">
    <w:name w:val="ListLabel 193"/>
    <w:qFormat/>
    <w:rPr>
      <w:rFonts w:eastAsia="Calibri"/>
    </w:rPr>
  </w:style>
  <w:style w:type="character" w:customStyle="1" w:styleId="ListLabel194">
    <w:name w:val="ListLabel 194"/>
    <w:qFormat/>
    <w:rPr>
      <w:rFonts w:eastAsia="Calibri"/>
    </w:rPr>
  </w:style>
  <w:style w:type="character" w:customStyle="1" w:styleId="ListLabel195">
    <w:name w:val="ListLabel 195"/>
    <w:qFormat/>
    <w:rPr>
      <w:rFonts w:eastAsia="Calibri"/>
    </w:rPr>
  </w:style>
  <w:style w:type="character" w:customStyle="1" w:styleId="ListLabel196">
    <w:name w:val="ListLabel 196"/>
    <w:qFormat/>
    <w:rPr>
      <w:rFonts w:eastAsia="Calibri"/>
    </w:rPr>
  </w:style>
  <w:style w:type="character" w:customStyle="1" w:styleId="ListLabel197">
    <w:name w:val="ListLabel 197"/>
    <w:qFormat/>
    <w:rPr>
      <w:rFonts w:eastAsia="Calibri"/>
    </w:rPr>
  </w:style>
  <w:style w:type="character" w:customStyle="1" w:styleId="ListLabel198">
    <w:name w:val="ListLabel 198"/>
    <w:qFormat/>
    <w:rPr>
      <w:rFonts w:eastAsia="Calibri"/>
    </w:rPr>
  </w:style>
  <w:style w:type="character" w:customStyle="1" w:styleId="ListLabel199">
    <w:name w:val="ListLabel 199"/>
    <w:qFormat/>
    <w:rPr>
      <w:rFonts w:eastAsia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6690"/>
    <w:pPr>
      <w:ind w:left="720"/>
      <w:contextualSpacing/>
    </w:pPr>
  </w:style>
  <w:style w:type="paragraph" w:customStyle="1" w:styleId="Normal1">
    <w:name w:val="Normal1"/>
    <w:qFormat/>
    <w:rsid w:val="00156690"/>
    <w:pPr>
      <w:widowControl w:val="0"/>
      <w:suppressAutoHyphens/>
    </w:pPr>
    <w:rPr>
      <w:rFonts w:ascii="Liberation Serif" w:eastAsia="Times New Roman" w:hAnsi="Liberation Serif" w:cs="Liberation Serif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56690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6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5C0C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1566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E. Oysolova</dc:creator>
  <cp:lastModifiedBy>Mariana D. Tsvyatkova</cp:lastModifiedBy>
  <cp:revision>6</cp:revision>
  <dcterms:created xsi:type="dcterms:W3CDTF">2021-02-08T14:29:00Z</dcterms:created>
  <dcterms:modified xsi:type="dcterms:W3CDTF">2021-02-12T08:38:00Z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