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F7BCF" w14:textId="77777777" w:rsidR="0009558A" w:rsidRPr="00F84CD8" w:rsidRDefault="00E331A8">
      <w:pPr>
        <w:rPr>
          <w:b/>
        </w:rPr>
      </w:pPr>
      <w:r>
        <w:rPr>
          <w:b/>
        </w:rPr>
        <w:t xml:space="preserve">Приложение към </w:t>
      </w:r>
      <w:r w:rsidR="00822DE9">
        <w:rPr>
          <w:b/>
        </w:rPr>
        <w:t xml:space="preserve">чл. 1, ал.3 от </w:t>
      </w:r>
      <w:r>
        <w:rPr>
          <w:b/>
        </w:rPr>
        <w:t>Н</w:t>
      </w:r>
      <w:r w:rsidR="0009558A" w:rsidRPr="00F84CD8">
        <w:rPr>
          <w:b/>
        </w:rPr>
        <w:t xml:space="preserve">асоки, приети от </w:t>
      </w:r>
      <w:r w:rsidR="00822DE9">
        <w:rPr>
          <w:b/>
        </w:rPr>
        <w:t>НСАП</w:t>
      </w:r>
      <w:r>
        <w:rPr>
          <w:b/>
        </w:rPr>
        <w:t xml:space="preserve"> на заседание на 02.02.2018 г.</w:t>
      </w:r>
    </w:p>
    <w:p w14:paraId="6F3D6D5E" w14:textId="77777777" w:rsidR="0009558A" w:rsidRPr="00F84CD8" w:rsidRDefault="0009558A">
      <w:pPr>
        <w:rPr>
          <w:b/>
        </w:rPr>
      </w:pPr>
    </w:p>
    <w:p w14:paraId="22999FB1" w14:textId="6355A4E9" w:rsidR="0009558A" w:rsidRPr="00F84CD8" w:rsidRDefault="0009558A" w:rsidP="005C4BBA">
      <w:pPr>
        <w:ind w:left="9204" w:firstLine="708"/>
        <w:rPr>
          <w:b/>
        </w:rPr>
      </w:pPr>
      <w:r w:rsidRPr="00F84CD8">
        <w:rPr>
          <w:b/>
        </w:rPr>
        <w:t>Утвърдил:</w:t>
      </w:r>
      <w:r w:rsidR="0069271C">
        <w:rPr>
          <w:b/>
        </w:rPr>
        <w:t xml:space="preserve"> </w:t>
      </w:r>
      <w:r w:rsidR="005F453F">
        <w:rPr>
          <w:b/>
        </w:rPr>
        <w:t>(</w:t>
      </w:r>
      <w:r w:rsidR="0069271C">
        <w:rPr>
          <w:b/>
        </w:rPr>
        <w:t>п</w:t>
      </w:r>
      <w:r w:rsidR="005F453F">
        <w:rPr>
          <w:b/>
        </w:rPr>
        <w:t>)</w:t>
      </w:r>
      <w:bookmarkStart w:id="0" w:name="_GoBack"/>
      <w:bookmarkEnd w:id="0"/>
    </w:p>
    <w:p w14:paraId="5CE56483" w14:textId="1E9E5F8E" w:rsidR="005C4BBA" w:rsidRDefault="00F84CD8" w:rsidP="005C4BBA">
      <w:pPr>
        <w:jc w:val="both"/>
        <w:rPr>
          <w:b/>
          <w:szCs w:val="24"/>
        </w:rPr>
      </w:pPr>
      <w:r w:rsidRPr="00F84CD8">
        <w:rPr>
          <w:b/>
        </w:rPr>
        <w:t xml:space="preserve"> </w:t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  <w:szCs w:val="24"/>
        </w:rPr>
        <w:t>Атанас Темелков</w:t>
      </w:r>
    </w:p>
    <w:p w14:paraId="1DAFE582" w14:textId="77777777" w:rsidR="005C4BBA" w:rsidRDefault="005C4BBA" w:rsidP="005C4BBA">
      <w:pPr>
        <w:ind w:left="9912" w:firstLine="708"/>
        <w:jc w:val="both"/>
        <w:rPr>
          <w:i/>
          <w:szCs w:val="24"/>
        </w:rPr>
      </w:pPr>
      <w:r>
        <w:rPr>
          <w:i/>
          <w:szCs w:val="24"/>
        </w:rPr>
        <w:t xml:space="preserve">Председател на </w:t>
      </w:r>
    </w:p>
    <w:p w14:paraId="674DDF89" w14:textId="00047A28" w:rsidR="005C4BBA" w:rsidRDefault="005C4BBA" w:rsidP="005C4BBA">
      <w:pPr>
        <w:ind w:left="9912" w:firstLine="708"/>
        <w:jc w:val="both"/>
        <w:rPr>
          <w:i/>
          <w:szCs w:val="24"/>
        </w:rPr>
      </w:pPr>
      <w:r>
        <w:rPr>
          <w:i/>
          <w:szCs w:val="24"/>
        </w:rPr>
        <w:t xml:space="preserve">Държавна агенция </w:t>
      </w:r>
    </w:p>
    <w:p w14:paraId="318584D4" w14:textId="50EF5B8E" w:rsidR="005C4BBA" w:rsidRDefault="00131D3B" w:rsidP="00131D3B">
      <w:pPr>
        <w:ind w:left="9912" w:firstLine="294"/>
        <w:jc w:val="both"/>
        <w:rPr>
          <w:i/>
          <w:szCs w:val="24"/>
        </w:rPr>
      </w:pPr>
      <w:r>
        <w:rPr>
          <w:i/>
          <w:szCs w:val="24"/>
        </w:rPr>
        <w:t xml:space="preserve">      </w:t>
      </w:r>
      <w:r w:rsidR="005C4BBA">
        <w:rPr>
          <w:i/>
          <w:szCs w:val="24"/>
        </w:rPr>
        <w:t>”Електронно управление”</w:t>
      </w:r>
    </w:p>
    <w:p w14:paraId="7A901C8B" w14:textId="3CC49DFB" w:rsidR="00F84CD8" w:rsidRPr="00F84CD8" w:rsidRDefault="00F84CD8" w:rsidP="00F84CD8">
      <w:pPr>
        <w:ind w:left="10206"/>
        <w:rPr>
          <w:b/>
        </w:rPr>
      </w:pPr>
      <w:r w:rsidRPr="00F84CD8">
        <w:rPr>
          <w:b/>
        </w:rPr>
        <w:t xml:space="preserve">                  </w:t>
      </w:r>
    </w:p>
    <w:p w14:paraId="05A3F922" w14:textId="1603A9C5" w:rsidR="00F84CD8" w:rsidRPr="00F84CD8" w:rsidRDefault="00F84CD8" w:rsidP="00603177">
      <w:pPr>
        <w:ind w:left="9204" w:firstLine="708"/>
        <w:rPr>
          <w:b/>
        </w:rPr>
      </w:pPr>
      <w:r w:rsidRPr="00F84CD8">
        <w:rPr>
          <w:b/>
        </w:rPr>
        <w:t>Дата:</w:t>
      </w:r>
      <w:r w:rsidR="0069271C">
        <w:rPr>
          <w:b/>
        </w:rPr>
        <w:tab/>
        <w:t>08.03.2018г.</w:t>
      </w:r>
    </w:p>
    <w:p w14:paraId="7E9951E8" w14:textId="77777777" w:rsidR="0009558A" w:rsidRDefault="0009558A" w:rsidP="00F84CD8">
      <w:pPr>
        <w:ind w:left="10206"/>
      </w:pPr>
    </w:p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1"/>
        <w:gridCol w:w="901"/>
        <w:gridCol w:w="1225"/>
        <w:gridCol w:w="1130"/>
        <w:gridCol w:w="858"/>
        <w:gridCol w:w="1274"/>
        <w:gridCol w:w="427"/>
        <w:gridCol w:w="1701"/>
        <w:gridCol w:w="276"/>
        <w:gridCol w:w="994"/>
        <w:gridCol w:w="1849"/>
        <w:gridCol w:w="135"/>
        <w:gridCol w:w="1707"/>
      </w:tblGrid>
      <w:tr w:rsidR="00F84CD8" w14:paraId="19E7468D" w14:textId="77777777" w:rsidTr="005B4D52">
        <w:trPr>
          <w:trHeight w:val="425"/>
        </w:trPr>
        <w:tc>
          <w:tcPr>
            <w:tcW w:w="15168" w:type="dxa"/>
            <w:gridSpan w:val="13"/>
            <w:shd w:val="clear" w:color="auto" w:fill="BDD6EE" w:themeFill="accent1" w:themeFillTint="66"/>
          </w:tcPr>
          <w:p w14:paraId="2FB18A33" w14:textId="77777777" w:rsidR="00F84CD8" w:rsidRDefault="00F84CD8" w:rsidP="00320258">
            <w:pPr>
              <w:jc w:val="center"/>
              <w:rPr>
                <w:b/>
              </w:rPr>
            </w:pPr>
            <w:r>
              <w:rPr>
                <w:b/>
              </w:rPr>
              <w:t>АНТИ</w:t>
            </w:r>
            <w:r w:rsidRPr="00F45B47">
              <w:rPr>
                <w:b/>
              </w:rPr>
              <w:t>КОРУПЦИОНЕН ПЛАН</w:t>
            </w:r>
          </w:p>
          <w:p w14:paraId="5AE83933" w14:textId="45DF34E3" w:rsidR="00931429" w:rsidRPr="00931429" w:rsidRDefault="004F4AF0" w:rsidP="0032025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 w:rsidR="00931429">
              <w:rPr>
                <w:b/>
              </w:rPr>
              <w:t>ДЪРЖАВНА АГЕНЦИЯ „ЕЛЕКТРОННО УПРАВЛЕНИЕ“</w:t>
            </w:r>
            <w:r>
              <w:rPr>
                <w:b/>
              </w:rPr>
              <w:t xml:space="preserve"> – 2018 година</w:t>
            </w:r>
          </w:p>
        </w:tc>
      </w:tr>
      <w:tr w:rsidR="00F45B47" w14:paraId="029CE059" w14:textId="77777777" w:rsidTr="005B4D52">
        <w:trPr>
          <w:trHeight w:val="425"/>
        </w:trPr>
        <w:tc>
          <w:tcPr>
            <w:tcW w:w="15168" w:type="dxa"/>
            <w:gridSpan w:val="13"/>
            <w:shd w:val="clear" w:color="auto" w:fill="BDD6EE" w:themeFill="accent1" w:themeFillTint="66"/>
          </w:tcPr>
          <w:p w14:paraId="588A4DB6" w14:textId="2B36AE45" w:rsidR="00F84CD8" w:rsidRDefault="00BF6737" w:rsidP="008E4D13">
            <w:pPr>
              <w:jc w:val="center"/>
            </w:pPr>
            <w:r>
              <w:t xml:space="preserve">Красимир </w:t>
            </w:r>
            <w:proofErr w:type="spellStart"/>
            <w:r>
              <w:t>Симонски</w:t>
            </w:r>
            <w:proofErr w:type="spellEnd"/>
            <w:r>
              <w:t xml:space="preserve"> – Заместник-председател на Държавна агенция „Елект</w:t>
            </w:r>
            <w:r w:rsidR="009718C8">
              <w:t xml:space="preserve">ронно управление“ - </w:t>
            </w:r>
            <w:r>
              <w:t xml:space="preserve">лице, </w:t>
            </w:r>
            <w:r w:rsidR="008E4D13" w:rsidRPr="0009558A">
              <w:t>отговорно за координацията на антикорупционните мерки</w:t>
            </w:r>
            <w:r w:rsidR="009718C8">
              <w:t xml:space="preserve">, </w:t>
            </w:r>
            <w:r w:rsidR="00E90EB0">
              <w:t>(</w:t>
            </w:r>
            <w:r w:rsidR="009718C8">
              <w:t>съгласно</w:t>
            </w:r>
            <w:r w:rsidR="008E4D13">
              <w:t xml:space="preserve"> Заповед № </w:t>
            </w:r>
            <w:r w:rsidR="00954CFF">
              <w:t>ДАЕУ-1072</w:t>
            </w:r>
            <w:r w:rsidR="008E4D13">
              <w:t>/</w:t>
            </w:r>
            <w:r w:rsidR="00954CFF">
              <w:t>19.02.2018г.</w:t>
            </w:r>
            <w:r w:rsidR="00E90EB0">
              <w:t xml:space="preserve"> на председателя на агенцията)</w:t>
            </w:r>
          </w:p>
          <w:p w14:paraId="4CD42BB0" w14:textId="77777777" w:rsidR="00F45B47" w:rsidRPr="00F45B47" w:rsidRDefault="00F45B47" w:rsidP="00320258">
            <w:pPr>
              <w:jc w:val="center"/>
              <w:rPr>
                <w:b/>
              </w:rPr>
            </w:pPr>
          </w:p>
        </w:tc>
      </w:tr>
      <w:tr w:rsidR="00F45B47" w14:paraId="50467314" w14:textId="77777777" w:rsidTr="005B4D52">
        <w:trPr>
          <w:trHeight w:val="443"/>
        </w:trPr>
        <w:tc>
          <w:tcPr>
            <w:tcW w:w="15168" w:type="dxa"/>
            <w:gridSpan w:val="13"/>
            <w:shd w:val="clear" w:color="auto" w:fill="A8D08D" w:themeFill="accent6" w:themeFillTint="99"/>
          </w:tcPr>
          <w:p w14:paraId="57576EE7" w14:textId="77777777" w:rsidR="00F45B47" w:rsidRDefault="00F45B47" w:rsidP="00320258">
            <w:r>
              <w:t>Корупционен риск – управление, разпореждане или разхождане на бюджетни средства и активи</w:t>
            </w:r>
            <w:r w:rsidR="00320258">
              <w:t>, вкл. обществени поръчки</w:t>
            </w:r>
          </w:p>
        </w:tc>
      </w:tr>
      <w:tr w:rsidR="00A540D6" w14:paraId="15E06618" w14:textId="77777777" w:rsidTr="000E2F04">
        <w:trPr>
          <w:trHeight w:val="873"/>
        </w:trPr>
        <w:tc>
          <w:tcPr>
            <w:tcW w:w="2691" w:type="dxa"/>
            <w:shd w:val="clear" w:color="auto" w:fill="E2EFD9" w:themeFill="accent6" w:themeFillTint="33"/>
          </w:tcPr>
          <w:p w14:paraId="39B9AAF8" w14:textId="77777777" w:rsidR="000A6319" w:rsidRDefault="000A6319">
            <w:r>
              <w:t>Описание на мярката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</w:tcPr>
          <w:p w14:paraId="22E0CABB" w14:textId="77777777" w:rsidR="000A6319" w:rsidRDefault="000A6319">
            <w: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E2EFD9" w:themeFill="accent6" w:themeFillTint="33"/>
          </w:tcPr>
          <w:p w14:paraId="24CE2B39" w14:textId="77777777" w:rsidR="000A6319" w:rsidRDefault="000A6319">
            <w:r>
              <w:t xml:space="preserve">Крайна цел на мярката 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145CE188" w14:textId="77777777" w:rsidR="000A6319" w:rsidRDefault="000A6319">
            <w:r>
              <w:t>Срок за изпълнение и етапи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A44DE3F" w14:textId="77777777" w:rsidR="000A6319" w:rsidRDefault="000A6319" w:rsidP="000A6319">
            <w:r>
              <w:t xml:space="preserve">Индикатор </w:t>
            </w:r>
          </w:p>
        </w:tc>
        <w:tc>
          <w:tcPr>
            <w:tcW w:w="1270" w:type="dxa"/>
            <w:gridSpan w:val="2"/>
            <w:shd w:val="clear" w:color="auto" w:fill="E2EFD9" w:themeFill="accent6" w:themeFillTint="33"/>
          </w:tcPr>
          <w:p w14:paraId="4F0EE76F" w14:textId="77777777" w:rsidR="000A6319" w:rsidRDefault="000A6319" w:rsidP="000A6319">
            <w:r>
              <w:t>Степен на риска</w:t>
            </w:r>
          </w:p>
        </w:tc>
        <w:tc>
          <w:tcPr>
            <w:tcW w:w="1849" w:type="dxa"/>
            <w:shd w:val="clear" w:color="auto" w:fill="E2EFD9" w:themeFill="accent6" w:themeFillTint="33"/>
          </w:tcPr>
          <w:p w14:paraId="09D17148" w14:textId="77777777" w:rsidR="000A6319" w:rsidRDefault="000A6319">
            <w:r>
              <w:t>Отговорно лице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14:paraId="42F39679" w14:textId="77777777" w:rsidR="000A6319" w:rsidRDefault="000A6319" w:rsidP="000A6319">
            <w:r>
              <w:t>Причини при неизпълнение</w:t>
            </w:r>
          </w:p>
        </w:tc>
      </w:tr>
      <w:tr w:rsidR="00BF6737" w14:paraId="1C03FD1E" w14:textId="77777777" w:rsidTr="000E2F04">
        <w:trPr>
          <w:trHeight w:val="141"/>
        </w:trPr>
        <w:tc>
          <w:tcPr>
            <w:tcW w:w="2691" w:type="dxa"/>
          </w:tcPr>
          <w:p w14:paraId="432F875B" w14:textId="5CE6E653" w:rsidR="00971885" w:rsidRDefault="00F02911" w:rsidP="00971885">
            <w:pPr>
              <w:pStyle w:val="ListParagraph"/>
              <w:numPr>
                <w:ilvl w:val="0"/>
                <w:numId w:val="8"/>
              </w:numPr>
            </w:pPr>
            <w:r>
              <w:t>Промяна</w:t>
            </w:r>
            <w:r w:rsidR="00127246">
              <w:t xml:space="preserve"> на</w:t>
            </w:r>
            <w:r w:rsidR="008771E0">
              <w:t>:</w:t>
            </w:r>
            <w:r w:rsidR="00D37B08">
              <w:t xml:space="preserve"> </w:t>
            </w:r>
          </w:p>
          <w:p w14:paraId="5CB95ACB" w14:textId="402B3D62" w:rsidR="005F61C7" w:rsidRPr="00C14543" w:rsidRDefault="00971885" w:rsidP="00971885">
            <w:r>
              <w:t>А) С</w:t>
            </w:r>
            <w:r w:rsidR="00D43191">
              <w:t>ъществуващите в</w:t>
            </w:r>
            <w:r w:rsidR="00127246">
              <w:t>ътрешни правила за управлени</w:t>
            </w:r>
            <w:r w:rsidR="009B399E">
              <w:t>е цикъла на обществени</w:t>
            </w:r>
            <w:r w:rsidR="00A35F87">
              <w:t>те</w:t>
            </w:r>
            <w:r w:rsidR="009B399E">
              <w:t xml:space="preserve"> поръчки</w:t>
            </w:r>
            <w:r w:rsidR="00F02911">
              <w:t xml:space="preserve"> </w:t>
            </w:r>
            <w:r w:rsidR="005F61C7">
              <w:t>и</w:t>
            </w:r>
            <w:r w:rsidR="005F61C7" w:rsidRPr="00C14543">
              <w:t xml:space="preserve"> включване на правила, регламентиращи разделяне на </w:t>
            </w:r>
            <w:r w:rsidR="005F61C7" w:rsidRPr="00C14543">
              <w:lastRenderedPageBreak/>
              <w:t>отговорностите по подготовка и провеждане на обществените поръчки;</w:t>
            </w:r>
          </w:p>
          <w:p w14:paraId="4DDD00CD" w14:textId="77777777" w:rsidR="00D37B08" w:rsidRPr="008907C3" w:rsidRDefault="00D37B08" w:rsidP="00A35F87"/>
        </w:tc>
        <w:tc>
          <w:tcPr>
            <w:tcW w:w="2126" w:type="dxa"/>
            <w:gridSpan w:val="2"/>
          </w:tcPr>
          <w:p w14:paraId="55DEA8D9" w14:textId="77777777" w:rsidR="00971885" w:rsidRDefault="00971885" w:rsidP="005C5FA7"/>
          <w:p w14:paraId="50CD2112" w14:textId="77777777" w:rsidR="006B0A4C" w:rsidRDefault="00BA28DC" w:rsidP="005C5FA7">
            <w:r>
              <w:t>Промяна на вътрешно</w:t>
            </w:r>
          </w:p>
          <w:p w14:paraId="32749742" w14:textId="687A8C73" w:rsidR="000A6319" w:rsidRPr="00127246" w:rsidRDefault="00BA28DC" w:rsidP="005C5FA7">
            <w:r>
              <w:t xml:space="preserve">ведомствен  акт </w:t>
            </w:r>
          </w:p>
        </w:tc>
        <w:tc>
          <w:tcPr>
            <w:tcW w:w="1988" w:type="dxa"/>
            <w:gridSpan w:val="2"/>
          </w:tcPr>
          <w:p w14:paraId="5A007B46" w14:textId="77777777" w:rsidR="00971885" w:rsidRDefault="00971885" w:rsidP="00771CE4"/>
          <w:p w14:paraId="3DDB9033" w14:textId="1678DED9" w:rsidR="000A6319" w:rsidRDefault="005C5FA7" w:rsidP="00771CE4">
            <w:r>
              <w:t>Намалява</w:t>
            </w:r>
            <w:r w:rsidR="009718C8">
              <w:t>не степента на корупцион</w:t>
            </w:r>
            <w:r>
              <w:t>н</w:t>
            </w:r>
            <w:r w:rsidR="009718C8">
              <w:t>ия</w:t>
            </w:r>
            <w:r>
              <w:t xml:space="preserve"> риск </w:t>
            </w:r>
          </w:p>
        </w:tc>
        <w:tc>
          <w:tcPr>
            <w:tcW w:w="1701" w:type="dxa"/>
            <w:gridSpan w:val="2"/>
          </w:tcPr>
          <w:p w14:paraId="5F862297" w14:textId="77777777" w:rsidR="00971885" w:rsidRDefault="00971885"/>
          <w:p w14:paraId="2B37CA79" w14:textId="77777777" w:rsidR="000A6319" w:rsidRDefault="00F02911">
            <w:r>
              <w:t>30.04.2018 г.</w:t>
            </w:r>
          </w:p>
        </w:tc>
        <w:tc>
          <w:tcPr>
            <w:tcW w:w="1701" w:type="dxa"/>
          </w:tcPr>
          <w:p w14:paraId="37E9E5DB" w14:textId="77777777" w:rsidR="00971885" w:rsidRDefault="00971885"/>
          <w:p w14:paraId="165F448C" w14:textId="77777777" w:rsidR="000A6319" w:rsidRDefault="00A35F87">
            <w:r>
              <w:t>Утвърдени нови</w:t>
            </w:r>
          </w:p>
          <w:p w14:paraId="5FD5785D" w14:textId="77777777" w:rsidR="00A35F87" w:rsidRDefault="00A35F87" w:rsidP="00A35F87">
            <w:r>
              <w:t xml:space="preserve">Вътрешни правила за управление цикъла на обществените поръчки </w:t>
            </w:r>
          </w:p>
        </w:tc>
        <w:tc>
          <w:tcPr>
            <w:tcW w:w="1270" w:type="dxa"/>
            <w:gridSpan w:val="2"/>
          </w:tcPr>
          <w:p w14:paraId="2323C4B9" w14:textId="77777777" w:rsidR="00971885" w:rsidRDefault="00971885"/>
          <w:p w14:paraId="1B7768E5" w14:textId="77777777" w:rsidR="000A6319" w:rsidRDefault="008E7246">
            <w:r>
              <w:t>висок</w:t>
            </w:r>
          </w:p>
        </w:tc>
        <w:tc>
          <w:tcPr>
            <w:tcW w:w="1849" w:type="dxa"/>
          </w:tcPr>
          <w:p w14:paraId="2D7E9B20" w14:textId="77777777" w:rsidR="00B9269E" w:rsidRDefault="00B9269E" w:rsidP="00B9269E"/>
          <w:p w14:paraId="2E3EAF98" w14:textId="6D11EF71" w:rsidR="00971885" w:rsidRDefault="00B9269E" w:rsidP="00F02911">
            <w:r>
              <w:t>Главен секретар,</w:t>
            </w:r>
          </w:p>
          <w:p w14:paraId="48B172E5" w14:textId="77777777" w:rsidR="000A6319" w:rsidRDefault="00771CE4" w:rsidP="00F02911">
            <w:r>
              <w:t>Директор на дир</w:t>
            </w:r>
            <w:r w:rsidR="001D705E">
              <w:t>екция „Обществени поръчки“</w:t>
            </w:r>
            <w:r w:rsidR="003165D6">
              <w:t xml:space="preserve"> </w:t>
            </w:r>
          </w:p>
        </w:tc>
        <w:tc>
          <w:tcPr>
            <w:tcW w:w="1842" w:type="dxa"/>
            <w:gridSpan w:val="2"/>
          </w:tcPr>
          <w:p w14:paraId="35E33183" w14:textId="77777777" w:rsidR="00971885" w:rsidRDefault="00971885" w:rsidP="00652F52"/>
          <w:p w14:paraId="5A918764" w14:textId="5F7E6F5E" w:rsidR="000A6319" w:rsidRDefault="00971885" w:rsidP="00652F52">
            <w:r>
              <w:t>Няма</w:t>
            </w:r>
          </w:p>
        </w:tc>
      </w:tr>
      <w:tr w:rsidR="00BF6737" w14:paraId="60CEDDD0" w14:textId="77777777" w:rsidTr="000E2F04">
        <w:trPr>
          <w:trHeight w:val="1551"/>
        </w:trPr>
        <w:tc>
          <w:tcPr>
            <w:tcW w:w="2691" w:type="dxa"/>
          </w:tcPr>
          <w:p w14:paraId="6012300E" w14:textId="797BEE19" w:rsidR="00D37B08" w:rsidRDefault="00971885" w:rsidP="00771CE4">
            <w:r>
              <w:rPr>
                <w:lang w:val="en-GB"/>
              </w:rPr>
              <w:lastRenderedPageBreak/>
              <w:t>Б)</w:t>
            </w:r>
            <w:r w:rsidR="00FF040C">
              <w:rPr>
                <w:lang w:val="en-GB"/>
              </w:rPr>
              <w:t xml:space="preserve"> </w:t>
            </w:r>
            <w:r w:rsidR="00D37B08">
              <w:t>Вътрешните правила при сключване, изпълнение и контрол на договори извън приложното поле на Закона за обществените поръчки</w:t>
            </w:r>
            <w:r w:rsidR="005F61C7">
              <w:t xml:space="preserve"> </w:t>
            </w:r>
            <w:r w:rsidR="005F61C7" w:rsidRPr="00C14543">
              <w:t>и включване на правила, регламентиращи разделяне на отговорностите по подготовка и провеждане на обществените поръчки;</w:t>
            </w:r>
          </w:p>
        </w:tc>
        <w:tc>
          <w:tcPr>
            <w:tcW w:w="2126" w:type="dxa"/>
            <w:gridSpan w:val="2"/>
          </w:tcPr>
          <w:p w14:paraId="27360B9E" w14:textId="77777777" w:rsidR="006B0A4C" w:rsidRDefault="00BA28DC" w:rsidP="005C5FA7">
            <w:r>
              <w:t>Промяна на вътрешно</w:t>
            </w:r>
          </w:p>
          <w:p w14:paraId="34CA5FDB" w14:textId="5F687228" w:rsidR="00D37B08" w:rsidRDefault="00BA28DC" w:rsidP="005C5FA7">
            <w:r>
              <w:t xml:space="preserve">ведомствен  акт </w:t>
            </w:r>
          </w:p>
        </w:tc>
        <w:tc>
          <w:tcPr>
            <w:tcW w:w="1988" w:type="dxa"/>
            <w:gridSpan w:val="2"/>
          </w:tcPr>
          <w:p w14:paraId="52CC1512" w14:textId="3B2E6D05" w:rsidR="00D37B08" w:rsidRDefault="00F84CB9" w:rsidP="00D37B08">
            <w:r>
              <w:t>Намаляване</w:t>
            </w:r>
            <w:r w:rsidR="009718C8">
              <w:t xml:space="preserve"> степента на корупцион</w:t>
            </w:r>
            <w:r w:rsidR="005C5FA7">
              <w:t>н</w:t>
            </w:r>
            <w:r w:rsidR="009718C8">
              <w:t>ия</w:t>
            </w:r>
            <w:r w:rsidR="005C5FA7">
              <w:t xml:space="preserve"> риск </w:t>
            </w:r>
          </w:p>
        </w:tc>
        <w:tc>
          <w:tcPr>
            <w:tcW w:w="1701" w:type="dxa"/>
            <w:gridSpan w:val="2"/>
          </w:tcPr>
          <w:p w14:paraId="7A513C6F" w14:textId="77777777" w:rsidR="00D37B08" w:rsidRDefault="00D37B08">
            <w:r>
              <w:t>30.05.2018 г.</w:t>
            </w:r>
          </w:p>
        </w:tc>
        <w:tc>
          <w:tcPr>
            <w:tcW w:w="1701" w:type="dxa"/>
          </w:tcPr>
          <w:p w14:paraId="198879EB" w14:textId="77777777" w:rsidR="00A35F87" w:rsidRDefault="00A35F87" w:rsidP="00A35F87">
            <w:r>
              <w:t>Утвърдени нови</w:t>
            </w:r>
          </w:p>
          <w:p w14:paraId="23B9EF22" w14:textId="77777777" w:rsidR="00D37B08" w:rsidRDefault="00A35F87" w:rsidP="00A35F87">
            <w:r>
              <w:t>Вътрешните правила при сключване, изпълнение и контрол на договори извън приложното поле на Закона за обществените поръчки</w:t>
            </w:r>
          </w:p>
        </w:tc>
        <w:tc>
          <w:tcPr>
            <w:tcW w:w="1270" w:type="dxa"/>
            <w:gridSpan w:val="2"/>
          </w:tcPr>
          <w:p w14:paraId="2F17BF1F" w14:textId="77777777" w:rsidR="00D37B08" w:rsidRDefault="005E1329">
            <w:r>
              <w:t>среден</w:t>
            </w:r>
          </w:p>
        </w:tc>
        <w:tc>
          <w:tcPr>
            <w:tcW w:w="1849" w:type="dxa"/>
          </w:tcPr>
          <w:p w14:paraId="641BB391" w14:textId="70AA82D3" w:rsidR="00B9269E" w:rsidRDefault="00B9269E" w:rsidP="00652F52">
            <w:r>
              <w:t>Главен секретар,</w:t>
            </w:r>
          </w:p>
          <w:p w14:paraId="0C5B0C35" w14:textId="77777777" w:rsidR="00D37B08" w:rsidRDefault="00652F52" w:rsidP="00652F52">
            <w:r>
              <w:t>Директор на дирекция „Обществени поръчки“</w:t>
            </w:r>
          </w:p>
        </w:tc>
        <w:tc>
          <w:tcPr>
            <w:tcW w:w="1842" w:type="dxa"/>
            <w:gridSpan w:val="2"/>
          </w:tcPr>
          <w:p w14:paraId="1BEFFD23" w14:textId="047E61EC" w:rsidR="00D37B08" w:rsidRDefault="00A83D25">
            <w:r>
              <w:t>Няма</w:t>
            </w:r>
          </w:p>
        </w:tc>
      </w:tr>
      <w:tr w:rsidR="00BF6737" w14:paraId="0D9B42BE" w14:textId="77777777" w:rsidTr="000E2F04">
        <w:trPr>
          <w:trHeight w:val="1551"/>
        </w:trPr>
        <w:tc>
          <w:tcPr>
            <w:tcW w:w="2691" w:type="dxa"/>
          </w:tcPr>
          <w:p w14:paraId="7B2053F1" w14:textId="3047027F" w:rsidR="00D37B08" w:rsidRDefault="00A83D25" w:rsidP="00771CE4">
            <w:r>
              <w:rPr>
                <w:lang w:val="en-GB"/>
              </w:rPr>
              <w:t>В)</w:t>
            </w:r>
            <w:r w:rsidR="00D37B08">
              <w:t xml:space="preserve"> Вътрешните правила за сключване, изпълнение и контрол на договори в областта на отбраната и сигурността под стойностните прагове на Закона за обществените поръчки</w:t>
            </w:r>
            <w:r w:rsidR="005F61C7">
              <w:t xml:space="preserve"> </w:t>
            </w:r>
            <w:r w:rsidR="005F61C7" w:rsidRPr="006D1B15">
              <w:t xml:space="preserve">и включване на правила, регламентиращи разделяне на </w:t>
            </w:r>
            <w:r w:rsidR="005F61C7" w:rsidRPr="006D1B15">
              <w:lastRenderedPageBreak/>
              <w:t>отговорностите по подготовка и провеждане на обществените поръчки;</w:t>
            </w:r>
          </w:p>
        </w:tc>
        <w:tc>
          <w:tcPr>
            <w:tcW w:w="2126" w:type="dxa"/>
            <w:gridSpan w:val="2"/>
          </w:tcPr>
          <w:p w14:paraId="0F78DAD4" w14:textId="77777777" w:rsidR="001D78DD" w:rsidRDefault="00BA28DC" w:rsidP="005C5FA7">
            <w:r>
              <w:lastRenderedPageBreak/>
              <w:t>Промяна на вътрешно</w:t>
            </w:r>
          </w:p>
          <w:p w14:paraId="22414D86" w14:textId="2A6FC312" w:rsidR="00D37B08" w:rsidRDefault="00BA28DC" w:rsidP="005C5FA7">
            <w:r>
              <w:t xml:space="preserve">ведомствен  акт </w:t>
            </w:r>
          </w:p>
        </w:tc>
        <w:tc>
          <w:tcPr>
            <w:tcW w:w="1988" w:type="dxa"/>
            <w:gridSpan w:val="2"/>
          </w:tcPr>
          <w:p w14:paraId="3E47C2A8" w14:textId="50BEB36C" w:rsidR="00D37B08" w:rsidRDefault="00F84CB9" w:rsidP="00A35F87">
            <w:r>
              <w:t>Намаляване</w:t>
            </w:r>
            <w:r w:rsidR="009718C8">
              <w:t xml:space="preserve"> степента на корупцион</w:t>
            </w:r>
            <w:r w:rsidR="005C5FA7">
              <w:t>н</w:t>
            </w:r>
            <w:r w:rsidR="009718C8">
              <w:t>ия</w:t>
            </w:r>
            <w:r w:rsidR="005C5FA7">
              <w:t xml:space="preserve"> риск </w:t>
            </w:r>
          </w:p>
        </w:tc>
        <w:tc>
          <w:tcPr>
            <w:tcW w:w="1701" w:type="dxa"/>
            <w:gridSpan w:val="2"/>
          </w:tcPr>
          <w:p w14:paraId="62036A9D" w14:textId="77777777" w:rsidR="00D37B08" w:rsidRDefault="00D37B08">
            <w:r>
              <w:t>30.06.2018 г.</w:t>
            </w:r>
          </w:p>
        </w:tc>
        <w:tc>
          <w:tcPr>
            <w:tcW w:w="1701" w:type="dxa"/>
          </w:tcPr>
          <w:p w14:paraId="381E0318" w14:textId="77777777" w:rsidR="00D37B08" w:rsidRDefault="00CF2D9F">
            <w:r>
              <w:t>Утвърдени нови В</w:t>
            </w:r>
            <w:r w:rsidR="00A35F87">
              <w:t xml:space="preserve">ътрешни правила за сключване, изпълнение и контрол на договори в областта на отбраната и сигурността под стойностните </w:t>
            </w:r>
            <w:r w:rsidR="00A35F87">
              <w:lastRenderedPageBreak/>
              <w:t>прагове на Закона за обществените поръчки</w:t>
            </w:r>
          </w:p>
        </w:tc>
        <w:tc>
          <w:tcPr>
            <w:tcW w:w="1270" w:type="dxa"/>
            <w:gridSpan w:val="2"/>
          </w:tcPr>
          <w:p w14:paraId="7269856F" w14:textId="77777777" w:rsidR="00D37B08" w:rsidRDefault="005E1329">
            <w:r>
              <w:lastRenderedPageBreak/>
              <w:t>висок</w:t>
            </w:r>
          </w:p>
        </w:tc>
        <w:tc>
          <w:tcPr>
            <w:tcW w:w="1849" w:type="dxa"/>
          </w:tcPr>
          <w:p w14:paraId="41D9DC68" w14:textId="77777777" w:rsidR="00B9269E" w:rsidRDefault="00B9269E" w:rsidP="00B9269E">
            <w:r>
              <w:t>Главен секретар,</w:t>
            </w:r>
          </w:p>
          <w:p w14:paraId="50D0613D" w14:textId="3C02FDEF" w:rsidR="00D37B08" w:rsidRDefault="00652F52" w:rsidP="00652F52">
            <w:r>
              <w:t>Директор на дирекция „Обществени поръчки“</w:t>
            </w:r>
            <w:r w:rsidR="005E4F6E">
              <w:t xml:space="preserve"> </w:t>
            </w:r>
          </w:p>
          <w:p w14:paraId="652F481C" w14:textId="7FB0C859" w:rsidR="005E4F6E" w:rsidRDefault="005E4F6E" w:rsidP="00652F52"/>
        </w:tc>
        <w:tc>
          <w:tcPr>
            <w:tcW w:w="1842" w:type="dxa"/>
            <w:gridSpan w:val="2"/>
          </w:tcPr>
          <w:p w14:paraId="61EE4A0A" w14:textId="474BB265" w:rsidR="00D37B08" w:rsidRDefault="00A83D25">
            <w:r>
              <w:t>Няма</w:t>
            </w:r>
          </w:p>
        </w:tc>
      </w:tr>
      <w:tr w:rsidR="00BF6737" w14:paraId="08B2E69E" w14:textId="77777777" w:rsidTr="006D1B15">
        <w:trPr>
          <w:trHeight w:val="1559"/>
        </w:trPr>
        <w:tc>
          <w:tcPr>
            <w:tcW w:w="2691" w:type="dxa"/>
          </w:tcPr>
          <w:p w14:paraId="5CE5CDCF" w14:textId="6068593B" w:rsidR="005B03EE" w:rsidRPr="006D1B15" w:rsidRDefault="00A83D25" w:rsidP="00B25D7B">
            <w:r>
              <w:rPr>
                <w:lang w:val="en-GB"/>
              </w:rPr>
              <w:lastRenderedPageBreak/>
              <w:t>Г)</w:t>
            </w:r>
            <w:r w:rsidR="00FF040C">
              <w:rPr>
                <w:lang w:val="en-GB"/>
              </w:rPr>
              <w:t xml:space="preserve"> </w:t>
            </w:r>
            <w:r w:rsidR="00B607F3">
              <w:t xml:space="preserve">Промяна на вътрешните правила за възлагане на обществени поръчки </w:t>
            </w:r>
            <w:r w:rsidR="00B607F3" w:rsidRPr="006D1B15">
              <w:t>и включване на правила, осигуряващи</w:t>
            </w:r>
            <w:r w:rsidR="00B25D7B" w:rsidRPr="006D1B15">
              <w:t xml:space="preserve"> спазването на чл. 44, ал. 3 от ЗОП за публикуване в профила на купувача на цялата информация, разменена по повод подготовката за възлагане на обществена поръчка, включително получения от възложителя резултат</w:t>
            </w:r>
            <w:r w:rsidR="00FB7E55" w:rsidRPr="006D1B15">
              <w:t>.</w:t>
            </w:r>
            <w:r w:rsidR="00B25D7B" w:rsidRPr="006D1B15">
              <w:t xml:space="preserve"> </w:t>
            </w:r>
            <w:r w:rsidR="00FB7E55" w:rsidRPr="006D1B15">
              <w:t>П</w:t>
            </w:r>
            <w:r w:rsidR="00B25D7B" w:rsidRPr="006D1B15">
              <w:t>осочване чрез профила на купувача на мястото, от което тази информация може да бъде получена</w:t>
            </w:r>
            <w:r w:rsidR="00F35192" w:rsidRPr="006D1B15">
              <w:t>.</w:t>
            </w:r>
          </w:p>
          <w:p w14:paraId="77157808" w14:textId="77777777" w:rsidR="009D4406" w:rsidRPr="006D1B15" w:rsidRDefault="009D4406" w:rsidP="00B25D7B"/>
          <w:p w14:paraId="0DAAB216" w14:textId="77777777" w:rsidR="009D4406" w:rsidRPr="006D1B15" w:rsidRDefault="009D4406" w:rsidP="00B25D7B"/>
          <w:p w14:paraId="687EAE1D" w14:textId="77777777" w:rsidR="009D4406" w:rsidRDefault="009D4406" w:rsidP="00B25D7B"/>
          <w:p w14:paraId="5EEA6A3F" w14:textId="77777777" w:rsidR="009D4406" w:rsidRDefault="009D4406" w:rsidP="00B25D7B"/>
          <w:p w14:paraId="61FAD950" w14:textId="77777777" w:rsidR="009D4406" w:rsidRDefault="009D4406" w:rsidP="00B25D7B"/>
          <w:p w14:paraId="6F6FB783" w14:textId="77777777" w:rsidR="009D4406" w:rsidRDefault="009D4406" w:rsidP="00B25D7B"/>
          <w:p w14:paraId="2BE01A8C" w14:textId="77777777" w:rsidR="009D4406" w:rsidRDefault="009D4406" w:rsidP="00B25D7B"/>
          <w:p w14:paraId="4F672D5F" w14:textId="77777777" w:rsidR="009D4406" w:rsidRDefault="009D4406" w:rsidP="00B25D7B"/>
          <w:p w14:paraId="185C3616" w14:textId="7669A8A8" w:rsidR="009D4406" w:rsidRDefault="009D4406" w:rsidP="00B25D7B"/>
        </w:tc>
        <w:tc>
          <w:tcPr>
            <w:tcW w:w="2126" w:type="dxa"/>
            <w:gridSpan w:val="2"/>
          </w:tcPr>
          <w:p w14:paraId="04E96CFC" w14:textId="77777777" w:rsidR="001D78DD" w:rsidRDefault="00B607F3" w:rsidP="00BA28DC">
            <w:r>
              <w:lastRenderedPageBreak/>
              <w:t>Промяна на вътрешно</w:t>
            </w:r>
          </w:p>
          <w:p w14:paraId="2493B346" w14:textId="0A06C1F0" w:rsidR="005B03EE" w:rsidRDefault="00B607F3" w:rsidP="00BA28DC">
            <w:r>
              <w:t>ведомствени актове</w:t>
            </w:r>
          </w:p>
        </w:tc>
        <w:tc>
          <w:tcPr>
            <w:tcW w:w="1988" w:type="dxa"/>
            <w:gridSpan w:val="2"/>
          </w:tcPr>
          <w:p w14:paraId="515150A2" w14:textId="77777777" w:rsidR="005B03EE" w:rsidRDefault="00F56090" w:rsidP="00F56090">
            <w:r>
              <w:t>Е</w:t>
            </w:r>
            <w:r w:rsidR="005B03EE">
              <w:t>лиминиране риска потенциални участници да имат предимство като вън</w:t>
            </w:r>
            <w:r>
              <w:t>шни лица, участвали в подготовката</w:t>
            </w:r>
            <w:r w:rsidR="005B03EE">
              <w:t xml:space="preserve"> на </w:t>
            </w:r>
            <w:r>
              <w:t xml:space="preserve">съответната обществена поръчка </w:t>
            </w:r>
            <w:r w:rsidR="005B03EE">
              <w:t>чрез прилагане на мерките по чл. 44 от ЗОП.</w:t>
            </w:r>
          </w:p>
        </w:tc>
        <w:tc>
          <w:tcPr>
            <w:tcW w:w="1701" w:type="dxa"/>
            <w:gridSpan w:val="2"/>
          </w:tcPr>
          <w:p w14:paraId="378F2647" w14:textId="77777777" w:rsidR="005B03EE" w:rsidRDefault="00CF2D9F">
            <w:r>
              <w:t>30.06.2018 г.</w:t>
            </w:r>
          </w:p>
        </w:tc>
        <w:tc>
          <w:tcPr>
            <w:tcW w:w="1701" w:type="dxa"/>
          </w:tcPr>
          <w:p w14:paraId="09BC39F4" w14:textId="77777777" w:rsidR="00CF2D9F" w:rsidRDefault="00CF2D9F" w:rsidP="00CF2D9F">
            <w:r>
              <w:t>Утвърдени нови</w:t>
            </w:r>
          </w:p>
          <w:p w14:paraId="1507F60C" w14:textId="34EE6F3C" w:rsidR="005B03EE" w:rsidRDefault="00CF2D9F" w:rsidP="00CF2D9F">
            <w:r>
              <w:t xml:space="preserve">Вътрешни правила за управление цикъла на </w:t>
            </w:r>
            <w:r w:rsidR="00B9269E">
              <w:t>обществените поръчки, ВП</w:t>
            </w:r>
            <w:r>
              <w:t xml:space="preserve"> при сключване, изпълнение и контрол на договори извън приложното поле на Закона за обществ</w:t>
            </w:r>
            <w:r w:rsidR="00B9269E">
              <w:t>ените поръчки и ВП</w:t>
            </w:r>
            <w:r>
              <w:t xml:space="preserve"> за сключване, изпълнение и контрол на договори в областта на отбраната и сигурността под </w:t>
            </w:r>
            <w:r>
              <w:lastRenderedPageBreak/>
              <w:t>стойностните прагове на Закона за обществените поръчки</w:t>
            </w:r>
            <w:r w:rsidR="00166286">
              <w:t>.</w:t>
            </w:r>
          </w:p>
        </w:tc>
        <w:tc>
          <w:tcPr>
            <w:tcW w:w="1270" w:type="dxa"/>
            <w:gridSpan w:val="2"/>
          </w:tcPr>
          <w:p w14:paraId="6D76EADF" w14:textId="77777777" w:rsidR="005B03EE" w:rsidRDefault="00FA4ABD">
            <w:r>
              <w:lastRenderedPageBreak/>
              <w:t>среден</w:t>
            </w:r>
          </w:p>
        </w:tc>
        <w:tc>
          <w:tcPr>
            <w:tcW w:w="1849" w:type="dxa"/>
          </w:tcPr>
          <w:p w14:paraId="6F1BC4B8" w14:textId="5F37C1BB" w:rsidR="004B03E4" w:rsidRDefault="004B03E4" w:rsidP="00652F52">
            <w:r>
              <w:t>Главен секретар,</w:t>
            </w:r>
          </w:p>
          <w:p w14:paraId="2E75B0E0" w14:textId="205FD7DE" w:rsidR="00FA4ABD" w:rsidRDefault="00FA4ABD" w:rsidP="00652F52">
            <w:r>
              <w:t xml:space="preserve">Директор </w:t>
            </w:r>
            <w:r w:rsidR="00734202">
              <w:t>на дирекция „Обществени поръчки“</w:t>
            </w:r>
          </w:p>
        </w:tc>
        <w:tc>
          <w:tcPr>
            <w:tcW w:w="1842" w:type="dxa"/>
            <w:gridSpan w:val="2"/>
          </w:tcPr>
          <w:p w14:paraId="740F440F" w14:textId="39E16C95" w:rsidR="005B03EE" w:rsidRDefault="00A83D25">
            <w:r>
              <w:t>Няма</w:t>
            </w:r>
          </w:p>
        </w:tc>
      </w:tr>
      <w:tr w:rsidR="000315DC" w14:paraId="47F86E15" w14:textId="77777777" w:rsidTr="000E2F04">
        <w:trPr>
          <w:trHeight w:val="1551"/>
        </w:trPr>
        <w:tc>
          <w:tcPr>
            <w:tcW w:w="2691" w:type="dxa"/>
          </w:tcPr>
          <w:p w14:paraId="75D841A8" w14:textId="138D01B1" w:rsidR="009E2934" w:rsidRPr="006D1B15" w:rsidRDefault="00FB7E55" w:rsidP="009E2934">
            <w:r w:rsidRPr="00B9269E">
              <w:lastRenderedPageBreak/>
              <w:t>2.</w:t>
            </w:r>
            <w:r w:rsidR="009E2934" w:rsidRPr="00B9269E">
              <w:t xml:space="preserve"> Промяна на вътрешните правила за възлагане на обществени поръчки </w:t>
            </w:r>
            <w:r w:rsidR="009E2934" w:rsidRPr="006D1B15">
              <w:t>и включване на правила, свързани с осъществяване на м</w:t>
            </w:r>
            <w:r w:rsidR="00DC5A73" w:rsidRPr="006D1B15">
              <w:t>ониторинг</w:t>
            </w:r>
            <w:r w:rsidR="009E2934" w:rsidRPr="006D1B15">
              <w:t xml:space="preserve"> при изпълнение на договорите</w:t>
            </w:r>
            <w:r w:rsidR="00B9269E" w:rsidRPr="006D1B15">
              <w:t>.</w:t>
            </w:r>
          </w:p>
          <w:p w14:paraId="6730A488" w14:textId="673F47BF" w:rsidR="000315DC" w:rsidRPr="00B9269E" w:rsidRDefault="000315DC" w:rsidP="000315DC"/>
        </w:tc>
        <w:tc>
          <w:tcPr>
            <w:tcW w:w="2126" w:type="dxa"/>
            <w:gridSpan w:val="2"/>
          </w:tcPr>
          <w:p w14:paraId="0BFD3B92" w14:textId="77777777" w:rsidR="006B0A4C" w:rsidRDefault="006B0A4C" w:rsidP="00BA28DC">
            <w:r>
              <w:t>Промяна на вътрешно</w:t>
            </w:r>
          </w:p>
          <w:p w14:paraId="031F648D" w14:textId="4591F8A9" w:rsidR="009E2934" w:rsidRPr="00B9269E" w:rsidRDefault="009E2934" w:rsidP="00BA28DC">
            <w:r w:rsidRPr="00B9269E">
              <w:t>ведомствени актове</w:t>
            </w:r>
            <w:r w:rsidR="00665643">
              <w:t>.</w:t>
            </w:r>
          </w:p>
          <w:p w14:paraId="5024D6BD" w14:textId="2891247D" w:rsidR="000315DC" w:rsidRPr="00B9269E" w:rsidRDefault="000315DC" w:rsidP="00BA28DC"/>
        </w:tc>
        <w:tc>
          <w:tcPr>
            <w:tcW w:w="1988" w:type="dxa"/>
            <w:gridSpan w:val="2"/>
          </w:tcPr>
          <w:p w14:paraId="02AABB34" w14:textId="70648B33" w:rsidR="00512417" w:rsidRPr="00B9269E" w:rsidRDefault="00A918C1" w:rsidP="008C2F9A">
            <w:r>
              <w:t>Намаляване</w:t>
            </w:r>
            <w:r w:rsidR="009718C8">
              <w:t xml:space="preserve"> степента на корупцион</w:t>
            </w:r>
            <w:r w:rsidR="00F7779C" w:rsidRPr="00B9269E">
              <w:t>н</w:t>
            </w:r>
            <w:r w:rsidR="009718C8">
              <w:t>ия</w:t>
            </w:r>
            <w:r w:rsidR="00F7779C" w:rsidRPr="00B9269E">
              <w:t xml:space="preserve"> риск</w:t>
            </w:r>
            <w:r w:rsidR="00F41C59">
              <w:t>.</w:t>
            </w:r>
          </w:p>
          <w:p w14:paraId="304EFFA1" w14:textId="045BC8D0" w:rsidR="000315DC" w:rsidRPr="00B9269E" w:rsidRDefault="000315DC" w:rsidP="007D6590"/>
        </w:tc>
        <w:tc>
          <w:tcPr>
            <w:tcW w:w="1701" w:type="dxa"/>
            <w:gridSpan w:val="2"/>
          </w:tcPr>
          <w:p w14:paraId="61B19DB3" w14:textId="31A8D1CF" w:rsidR="000315DC" w:rsidRPr="00B9269E" w:rsidRDefault="00F7779C">
            <w:r w:rsidRPr="00B9269E">
              <w:t>30.06</w:t>
            </w:r>
            <w:r w:rsidR="001A68E5" w:rsidRPr="00B9269E">
              <w:t>.2018г.</w:t>
            </w:r>
          </w:p>
        </w:tc>
        <w:tc>
          <w:tcPr>
            <w:tcW w:w="1701" w:type="dxa"/>
          </w:tcPr>
          <w:p w14:paraId="2396D2E0" w14:textId="77777777" w:rsidR="00F7779C" w:rsidRPr="00B9269E" w:rsidRDefault="00F7779C" w:rsidP="00F7779C">
            <w:r w:rsidRPr="00B9269E">
              <w:t>Утвърдени нови</w:t>
            </w:r>
          </w:p>
          <w:p w14:paraId="75FBD08A" w14:textId="4835FA7F" w:rsidR="000315DC" w:rsidRPr="00B9269E" w:rsidRDefault="00F7779C" w:rsidP="00F7779C">
            <w:r w:rsidRPr="00B9269E">
              <w:t xml:space="preserve">Вътрешни правила за управление цикъла на </w:t>
            </w:r>
            <w:r w:rsidR="000F6F35" w:rsidRPr="00B9269E">
              <w:t>обществените поръчки, ВП</w:t>
            </w:r>
            <w:r w:rsidRPr="00B9269E">
              <w:t xml:space="preserve"> при сключване, изпълнение и контрол на договори извън приложното поле на Закона за обществ</w:t>
            </w:r>
            <w:r w:rsidR="000F6F35" w:rsidRPr="00B9269E">
              <w:t>ените поръчки и ВП</w:t>
            </w:r>
            <w:r w:rsidRPr="00B9269E">
              <w:t xml:space="preserve"> за сключване, изпълнение и контрол на договори в областта на отбраната и сигурността под </w:t>
            </w:r>
            <w:r w:rsidRPr="00B9269E">
              <w:lastRenderedPageBreak/>
              <w:t>стойностните прагове на Закона за обществените поръчки.</w:t>
            </w:r>
          </w:p>
        </w:tc>
        <w:tc>
          <w:tcPr>
            <w:tcW w:w="1270" w:type="dxa"/>
            <w:gridSpan w:val="2"/>
          </w:tcPr>
          <w:p w14:paraId="3AE6452A" w14:textId="77777777" w:rsidR="00B6596C" w:rsidRPr="00B9269E" w:rsidRDefault="00B6596C" w:rsidP="00B6596C">
            <w:r w:rsidRPr="00B9269E">
              <w:lastRenderedPageBreak/>
              <w:t>Висок</w:t>
            </w:r>
          </w:p>
          <w:p w14:paraId="587C2947" w14:textId="77777777" w:rsidR="000315DC" w:rsidRPr="00B9269E" w:rsidRDefault="000315DC"/>
        </w:tc>
        <w:tc>
          <w:tcPr>
            <w:tcW w:w="1849" w:type="dxa"/>
          </w:tcPr>
          <w:p w14:paraId="7857E775" w14:textId="61B269E7" w:rsidR="004B03E4" w:rsidRDefault="004B03E4" w:rsidP="00B6596C">
            <w:r>
              <w:t>Главен секретар,</w:t>
            </w:r>
          </w:p>
          <w:p w14:paraId="296F9461" w14:textId="08B82982" w:rsidR="00734202" w:rsidRPr="00B9269E" w:rsidRDefault="00FB7E55" w:rsidP="00B6596C">
            <w:r w:rsidRPr="00B9269E">
              <w:t xml:space="preserve">Директор на дирекция </w:t>
            </w:r>
            <w:r w:rsidR="00734202" w:rsidRPr="00B9269E">
              <w:t>„Обществени поръчки“</w:t>
            </w:r>
          </w:p>
          <w:p w14:paraId="1FFA4F8D" w14:textId="77777777" w:rsidR="00734202" w:rsidRPr="00B9269E" w:rsidRDefault="00734202" w:rsidP="00B6596C"/>
          <w:p w14:paraId="2E487F68" w14:textId="7910108D" w:rsidR="00734202" w:rsidRPr="00B9269E" w:rsidRDefault="00734202" w:rsidP="00B6596C"/>
        </w:tc>
        <w:tc>
          <w:tcPr>
            <w:tcW w:w="1842" w:type="dxa"/>
            <w:gridSpan w:val="2"/>
          </w:tcPr>
          <w:p w14:paraId="1495BF4D" w14:textId="47928ACA" w:rsidR="000315DC" w:rsidRDefault="004B03E4">
            <w:r w:rsidRPr="004B03E4">
              <w:t>Н</w:t>
            </w:r>
            <w:r w:rsidR="00FB7E55" w:rsidRPr="004B03E4">
              <w:t>яма</w:t>
            </w:r>
          </w:p>
          <w:p w14:paraId="2E4C80DD" w14:textId="20E8E5D1" w:rsidR="004B03E4" w:rsidRPr="009B3663" w:rsidRDefault="004B03E4">
            <w:pPr>
              <w:rPr>
                <w:highlight w:val="yellow"/>
              </w:rPr>
            </w:pPr>
          </w:p>
        </w:tc>
      </w:tr>
      <w:tr w:rsidR="00F02911" w14:paraId="60F80CE3" w14:textId="77777777" w:rsidTr="005B4D52">
        <w:trPr>
          <w:trHeight w:val="444"/>
        </w:trPr>
        <w:tc>
          <w:tcPr>
            <w:tcW w:w="15168" w:type="dxa"/>
            <w:gridSpan w:val="13"/>
            <w:shd w:val="clear" w:color="auto" w:fill="A8D08D" w:themeFill="accent6" w:themeFillTint="99"/>
          </w:tcPr>
          <w:p w14:paraId="5245F5EB" w14:textId="0CE31128" w:rsidR="00F02911" w:rsidRPr="00997F5F" w:rsidRDefault="00F02911" w:rsidP="00F02911">
            <w:r>
              <w:lastRenderedPageBreak/>
              <w:t>Корупционен риск – извършване на контролни дейности</w:t>
            </w:r>
          </w:p>
        </w:tc>
      </w:tr>
      <w:tr w:rsidR="00512417" w14:paraId="56EB934A" w14:textId="77777777" w:rsidTr="000E2F04">
        <w:trPr>
          <w:trHeight w:val="873"/>
        </w:trPr>
        <w:tc>
          <w:tcPr>
            <w:tcW w:w="2691" w:type="dxa"/>
            <w:shd w:val="clear" w:color="auto" w:fill="E2EFD9" w:themeFill="accent6" w:themeFillTint="33"/>
          </w:tcPr>
          <w:p w14:paraId="27135C79" w14:textId="77777777" w:rsidR="00F02911" w:rsidRPr="008278F7" w:rsidRDefault="00F02911" w:rsidP="00F02911">
            <w:r w:rsidRPr="008278F7">
              <w:t>Описание на мярката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</w:tcPr>
          <w:p w14:paraId="2CCF5909" w14:textId="77777777" w:rsidR="00F02911" w:rsidRPr="008278F7" w:rsidRDefault="00F02911" w:rsidP="00F02911">
            <w:r w:rsidRPr="008278F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E2EFD9" w:themeFill="accent6" w:themeFillTint="33"/>
          </w:tcPr>
          <w:p w14:paraId="29978843" w14:textId="77777777" w:rsidR="00F02911" w:rsidRPr="008278F7" w:rsidRDefault="00F02911" w:rsidP="00F02911">
            <w:r w:rsidRPr="008278F7">
              <w:t xml:space="preserve">Крайна цел на мярката 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35532B96" w14:textId="77777777" w:rsidR="00F02911" w:rsidRPr="008278F7" w:rsidRDefault="00F02911" w:rsidP="00F02911">
            <w:r>
              <w:t>Срок за изпълнение и етапи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2BBEAA4" w14:textId="77777777" w:rsidR="00F02911" w:rsidRPr="008278F7" w:rsidRDefault="00F02911" w:rsidP="00F02911">
            <w:r w:rsidRPr="008278F7">
              <w:t xml:space="preserve">Индикатор </w:t>
            </w:r>
          </w:p>
        </w:tc>
        <w:tc>
          <w:tcPr>
            <w:tcW w:w="1270" w:type="dxa"/>
            <w:gridSpan w:val="2"/>
            <w:shd w:val="clear" w:color="auto" w:fill="E2EFD9" w:themeFill="accent6" w:themeFillTint="33"/>
          </w:tcPr>
          <w:p w14:paraId="0E25648E" w14:textId="77777777" w:rsidR="00F02911" w:rsidRDefault="00F02911" w:rsidP="00F02911">
            <w:r>
              <w:t>Степен на риска</w:t>
            </w:r>
          </w:p>
        </w:tc>
        <w:tc>
          <w:tcPr>
            <w:tcW w:w="1849" w:type="dxa"/>
            <w:shd w:val="clear" w:color="auto" w:fill="E2EFD9" w:themeFill="accent6" w:themeFillTint="33"/>
          </w:tcPr>
          <w:p w14:paraId="4B8F604B" w14:textId="77777777" w:rsidR="00F02911" w:rsidRDefault="00F02911" w:rsidP="00F02911">
            <w:r w:rsidRPr="008278F7">
              <w:t>Отговорно лице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14:paraId="566E0CBD" w14:textId="77777777" w:rsidR="00F02911" w:rsidRDefault="00F02911" w:rsidP="00F02911">
            <w:r>
              <w:t>Причини при неизпълнение</w:t>
            </w:r>
          </w:p>
        </w:tc>
      </w:tr>
      <w:tr w:rsidR="000C52C9" w14:paraId="614EFFA2" w14:textId="77777777" w:rsidTr="000E2F04">
        <w:trPr>
          <w:trHeight w:val="2409"/>
        </w:trPr>
        <w:tc>
          <w:tcPr>
            <w:tcW w:w="2691" w:type="dxa"/>
          </w:tcPr>
          <w:p w14:paraId="267E558D" w14:textId="5869BD6E" w:rsidR="000C52C9" w:rsidRDefault="00C737DD" w:rsidP="008771E0">
            <w:r>
              <w:t>3</w:t>
            </w:r>
            <w:r w:rsidR="000C52C9">
              <w:t>.</w:t>
            </w:r>
            <w:r w:rsidR="008771E0">
              <w:t xml:space="preserve"> И</w:t>
            </w:r>
            <w:r w:rsidR="00751482">
              <w:t xml:space="preserve">звършване на </w:t>
            </w:r>
            <w:r w:rsidR="000C52C9">
              <w:t xml:space="preserve"> проверки за спазване на процедурите по докладване за </w:t>
            </w:r>
            <w:r w:rsidR="00F406F6">
              <w:t>прояви на корупция</w:t>
            </w:r>
            <w:r w:rsidR="000F62EF">
              <w:t>, съгласно вътрешните правила за прилагане на антикорупционни процедури в ДАЕУ</w:t>
            </w:r>
            <w:r w:rsidR="00354B06">
              <w:t>;</w:t>
            </w:r>
            <w:r w:rsidR="00F406F6">
              <w:t xml:space="preserve"> </w:t>
            </w:r>
          </w:p>
        </w:tc>
        <w:tc>
          <w:tcPr>
            <w:tcW w:w="2126" w:type="dxa"/>
            <w:gridSpan w:val="2"/>
          </w:tcPr>
          <w:p w14:paraId="57A4C9A1" w14:textId="3CA0F8F6" w:rsidR="000C52C9" w:rsidRDefault="00F406F6" w:rsidP="00BF6737">
            <w:pPr>
              <w:jc w:val="both"/>
            </w:pPr>
            <w:r w:rsidRPr="000E2F04">
              <w:t>Структурните</w:t>
            </w:r>
            <w:r w:rsidR="005E4F6E" w:rsidRPr="000E2F04">
              <w:t xml:space="preserve"> звена в агенцията с</w:t>
            </w:r>
            <w:r w:rsidR="004573E4" w:rsidRPr="000E2F04">
              <w:t xml:space="preserve"> идентифициран</w:t>
            </w:r>
            <w:r w:rsidRPr="000E2F04">
              <w:t xml:space="preserve"> висок корупционен риск</w:t>
            </w:r>
          </w:p>
        </w:tc>
        <w:tc>
          <w:tcPr>
            <w:tcW w:w="1988" w:type="dxa"/>
            <w:gridSpan w:val="2"/>
          </w:tcPr>
          <w:p w14:paraId="67D8034C" w14:textId="5AA8325E" w:rsidR="000C52C9" w:rsidRDefault="00236168" w:rsidP="00BF6737">
            <w:r>
              <w:t>Превенция на</w:t>
            </w:r>
            <w:r w:rsidR="00FE276E">
              <w:t xml:space="preserve"> прояви</w:t>
            </w:r>
            <w:r>
              <w:t>те</w:t>
            </w:r>
            <w:r w:rsidR="00FE276E">
              <w:t xml:space="preserve"> на кор</w:t>
            </w:r>
            <w:r w:rsidR="00231BD9">
              <w:t>упция</w:t>
            </w:r>
            <w:r w:rsidR="00FE276E">
              <w:t>.</w:t>
            </w:r>
          </w:p>
        </w:tc>
        <w:tc>
          <w:tcPr>
            <w:tcW w:w="1701" w:type="dxa"/>
            <w:gridSpan w:val="2"/>
          </w:tcPr>
          <w:p w14:paraId="65036455" w14:textId="77777777" w:rsidR="000C52C9" w:rsidRDefault="00F406F6" w:rsidP="00BF6737">
            <w:r>
              <w:t>31.12.2018г.</w:t>
            </w:r>
          </w:p>
        </w:tc>
        <w:tc>
          <w:tcPr>
            <w:tcW w:w="1701" w:type="dxa"/>
          </w:tcPr>
          <w:p w14:paraId="248EA81E" w14:textId="77777777" w:rsidR="00357C44" w:rsidRDefault="00F406F6" w:rsidP="00BF6737">
            <w:r>
              <w:t xml:space="preserve">Брой </w:t>
            </w:r>
            <w:r w:rsidR="00FE276E">
              <w:t>констатирани нарушения</w:t>
            </w:r>
            <w:r w:rsidR="00357C44">
              <w:t xml:space="preserve"> по докладване</w:t>
            </w:r>
            <w:r w:rsidR="00FE276E">
              <w:t>/</w:t>
            </w:r>
          </w:p>
          <w:p w14:paraId="4E2CF608" w14:textId="01A11C3D" w:rsidR="000C52C9" w:rsidRDefault="00FE276E" w:rsidP="00BF6737">
            <w:r>
              <w:t>предприети коригиращи действия</w:t>
            </w:r>
            <w:r w:rsidR="00231BD9">
              <w:t>.</w:t>
            </w:r>
          </w:p>
        </w:tc>
        <w:tc>
          <w:tcPr>
            <w:tcW w:w="1270" w:type="dxa"/>
            <w:gridSpan w:val="2"/>
          </w:tcPr>
          <w:p w14:paraId="2DE772FD" w14:textId="461F6D3E" w:rsidR="000C52C9" w:rsidRDefault="00357C44" w:rsidP="00BF6737">
            <w:r>
              <w:t>среден</w:t>
            </w:r>
          </w:p>
        </w:tc>
        <w:tc>
          <w:tcPr>
            <w:tcW w:w="1849" w:type="dxa"/>
          </w:tcPr>
          <w:p w14:paraId="233324D6" w14:textId="403BF1F5" w:rsidR="000C52C9" w:rsidRDefault="00DC05E7" w:rsidP="00BF6737">
            <w:r>
              <w:t>Ръководител Инспекторат</w:t>
            </w:r>
          </w:p>
        </w:tc>
        <w:tc>
          <w:tcPr>
            <w:tcW w:w="1842" w:type="dxa"/>
            <w:gridSpan w:val="2"/>
          </w:tcPr>
          <w:p w14:paraId="7C18DFCF" w14:textId="51446337" w:rsidR="000C52C9" w:rsidRDefault="00357C44" w:rsidP="00BF6737">
            <w:r>
              <w:t>Няма</w:t>
            </w:r>
          </w:p>
        </w:tc>
      </w:tr>
      <w:tr w:rsidR="000C52C9" w14:paraId="4D0B31D9" w14:textId="77777777" w:rsidTr="006D1B15">
        <w:trPr>
          <w:trHeight w:val="850"/>
        </w:trPr>
        <w:tc>
          <w:tcPr>
            <w:tcW w:w="2691" w:type="dxa"/>
          </w:tcPr>
          <w:p w14:paraId="2EB1D85F" w14:textId="6B8E85D9" w:rsidR="000C52C9" w:rsidRDefault="00C737DD" w:rsidP="00BF6737">
            <w:r>
              <w:t>4</w:t>
            </w:r>
            <w:r w:rsidR="002C4F93">
              <w:t xml:space="preserve">. Извършване на </w:t>
            </w:r>
            <w:r w:rsidR="003E7DF4">
              <w:t>проверки по подадени в И</w:t>
            </w:r>
            <w:r w:rsidR="00FE276E">
              <w:t>нспектората сигнали, съдържа</w:t>
            </w:r>
            <w:r w:rsidR="008D2D1A">
              <w:t xml:space="preserve">щи данни за корупция </w:t>
            </w:r>
            <w:r w:rsidR="00FE276E">
              <w:t>от служители на агенцията</w:t>
            </w:r>
            <w:r w:rsidR="00DC50FA">
              <w:t>, в това число нарушения на етичния кодекс</w:t>
            </w:r>
            <w:r w:rsidR="00165226">
              <w:t xml:space="preserve">, съгласно утвърдените вътрешни правила за </w:t>
            </w:r>
            <w:r w:rsidR="00165226">
              <w:lastRenderedPageBreak/>
              <w:t>дейността на Инспектората на ДАЕУ.</w:t>
            </w:r>
          </w:p>
        </w:tc>
        <w:tc>
          <w:tcPr>
            <w:tcW w:w="2126" w:type="dxa"/>
            <w:gridSpan w:val="2"/>
          </w:tcPr>
          <w:p w14:paraId="77C68B47" w14:textId="735F3C4D" w:rsidR="000C52C9" w:rsidRDefault="008B1EE1" w:rsidP="00BF6737">
            <w:pPr>
              <w:jc w:val="both"/>
            </w:pPr>
            <w:r>
              <w:lastRenderedPageBreak/>
              <w:t>Служители</w:t>
            </w:r>
            <w:r w:rsidR="00622015">
              <w:t>,</w:t>
            </w:r>
            <w:r>
              <w:t xml:space="preserve"> срещу които е подаден сигналът</w:t>
            </w:r>
          </w:p>
        </w:tc>
        <w:tc>
          <w:tcPr>
            <w:tcW w:w="1988" w:type="dxa"/>
            <w:gridSpan w:val="2"/>
          </w:tcPr>
          <w:p w14:paraId="16DA09AC" w14:textId="77777777" w:rsidR="000C52C9" w:rsidRDefault="008B1EE1" w:rsidP="00BF6737">
            <w:r>
              <w:t xml:space="preserve">Установяване </w:t>
            </w:r>
            <w:r w:rsidR="00EF1263">
              <w:t>и предотвратяване на</w:t>
            </w:r>
            <w:r>
              <w:t xml:space="preserve"> неправомерни деяния от страна на служителите на ДАЕУ</w:t>
            </w:r>
          </w:p>
        </w:tc>
        <w:tc>
          <w:tcPr>
            <w:tcW w:w="1701" w:type="dxa"/>
            <w:gridSpan w:val="2"/>
          </w:tcPr>
          <w:p w14:paraId="45B1CE18" w14:textId="77777777" w:rsidR="000C52C9" w:rsidRDefault="008B1EE1" w:rsidP="00BF6737">
            <w:r>
              <w:t>31.12.2018г.</w:t>
            </w:r>
          </w:p>
        </w:tc>
        <w:tc>
          <w:tcPr>
            <w:tcW w:w="1701" w:type="dxa"/>
          </w:tcPr>
          <w:p w14:paraId="513C5AEA" w14:textId="1295D385" w:rsidR="000C52C9" w:rsidRDefault="00231BD9" w:rsidP="00BF6737">
            <w:r>
              <w:t>Брой п</w:t>
            </w:r>
            <w:r w:rsidR="008B1EE1">
              <w:t xml:space="preserve">редприети действия, </w:t>
            </w:r>
            <w:r w:rsidR="005E4F6E">
              <w:t>включително</w:t>
            </w:r>
            <w:r w:rsidR="00B3132B">
              <w:rPr>
                <w:lang w:val="en-GB"/>
              </w:rPr>
              <w:t xml:space="preserve"> </w:t>
            </w:r>
            <w:r w:rsidR="00B3132B">
              <w:t>предложения за налагане на</w:t>
            </w:r>
            <w:r w:rsidR="005E4F6E">
              <w:t xml:space="preserve"> дисциплинарни наказания </w:t>
            </w:r>
            <w:r w:rsidR="008B1EE1">
              <w:t xml:space="preserve">при </w:t>
            </w:r>
            <w:r w:rsidR="008B1EE1">
              <w:lastRenderedPageBreak/>
              <w:t>констатирани нарушения</w:t>
            </w:r>
            <w:r>
              <w:t>.</w:t>
            </w:r>
          </w:p>
        </w:tc>
        <w:tc>
          <w:tcPr>
            <w:tcW w:w="1270" w:type="dxa"/>
            <w:gridSpan w:val="2"/>
          </w:tcPr>
          <w:p w14:paraId="1378A7F0" w14:textId="45AA88C4" w:rsidR="000C52C9" w:rsidRDefault="00231BD9" w:rsidP="00BF6737">
            <w:r>
              <w:lastRenderedPageBreak/>
              <w:t>среден</w:t>
            </w:r>
          </w:p>
        </w:tc>
        <w:tc>
          <w:tcPr>
            <w:tcW w:w="1849" w:type="dxa"/>
          </w:tcPr>
          <w:p w14:paraId="16CF6F5E" w14:textId="56BE269C" w:rsidR="000C52C9" w:rsidRDefault="008B1EE1" w:rsidP="00BF6737">
            <w:r>
              <w:t>Ръководител Инспекторат</w:t>
            </w:r>
          </w:p>
        </w:tc>
        <w:tc>
          <w:tcPr>
            <w:tcW w:w="1842" w:type="dxa"/>
            <w:gridSpan w:val="2"/>
          </w:tcPr>
          <w:p w14:paraId="5BE348DD" w14:textId="78FF0879" w:rsidR="000C52C9" w:rsidRDefault="004B03E4" w:rsidP="00BF6737">
            <w:r>
              <w:t>Н</w:t>
            </w:r>
            <w:r w:rsidR="00DC05E7">
              <w:t>яма</w:t>
            </w:r>
          </w:p>
          <w:p w14:paraId="2EF02012" w14:textId="2F78D8AD" w:rsidR="004B03E4" w:rsidRDefault="004B03E4" w:rsidP="00BF6737"/>
        </w:tc>
      </w:tr>
      <w:tr w:rsidR="00F02911" w14:paraId="06D1340E" w14:textId="77777777" w:rsidTr="005B4D52">
        <w:trPr>
          <w:trHeight w:val="632"/>
        </w:trPr>
        <w:tc>
          <w:tcPr>
            <w:tcW w:w="15168" w:type="dxa"/>
            <w:gridSpan w:val="13"/>
            <w:shd w:val="clear" w:color="auto" w:fill="A8D08D" w:themeFill="accent6" w:themeFillTint="99"/>
          </w:tcPr>
          <w:p w14:paraId="41842D78" w14:textId="77777777" w:rsidR="00F02911" w:rsidRDefault="00F02911" w:rsidP="00F02911">
            <w:r>
              <w:lastRenderedPageBreak/>
              <w:t>Корупционен риск – предоставяне на административни услуги, концесии, издаване на лицензи и разрешения, регистрационни режими, търгове</w:t>
            </w:r>
          </w:p>
        </w:tc>
      </w:tr>
      <w:tr w:rsidR="00BF6737" w14:paraId="4040B07A" w14:textId="77777777" w:rsidTr="001869A6">
        <w:trPr>
          <w:trHeight w:val="873"/>
        </w:trPr>
        <w:tc>
          <w:tcPr>
            <w:tcW w:w="2691" w:type="dxa"/>
            <w:shd w:val="clear" w:color="auto" w:fill="E2EFD9" w:themeFill="accent6" w:themeFillTint="33"/>
          </w:tcPr>
          <w:p w14:paraId="22C6C04C" w14:textId="77777777" w:rsidR="00F02911" w:rsidRPr="00AC6CE7" w:rsidRDefault="00F02911" w:rsidP="00F02911">
            <w:r w:rsidRPr="00AC6CE7">
              <w:t>Описание на мярката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</w:tcPr>
          <w:p w14:paraId="3DCBFAD4" w14:textId="77777777" w:rsidR="00F02911" w:rsidRPr="00AC6CE7" w:rsidRDefault="00F02911" w:rsidP="00F02911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E2EFD9" w:themeFill="accent6" w:themeFillTint="33"/>
          </w:tcPr>
          <w:p w14:paraId="55625AF9" w14:textId="77777777" w:rsidR="00F02911" w:rsidRPr="00AC6CE7" w:rsidRDefault="00F02911" w:rsidP="00F02911">
            <w:r w:rsidRPr="00AC6CE7">
              <w:t xml:space="preserve">Крайна цел на мярката 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3948F8FF" w14:textId="77777777" w:rsidR="00F02911" w:rsidRPr="00AC6CE7" w:rsidRDefault="00F02911" w:rsidP="00F02911">
            <w:r>
              <w:t>Срок за изпълнение и етапи</w:t>
            </w:r>
          </w:p>
        </w:tc>
        <w:tc>
          <w:tcPr>
            <w:tcW w:w="1977" w:type="dxa"/>
            <w:gridSpan w:val="2"/>
            <w:shd w:val="clear" w:color="auto" w:fill="E2EFD9" w:themeFill="accent6" w:themeFillTint="33"/>
          </w:tcPr>
          <w:p w14:paraId="3F850FC0" w14:textId="77777777" w:rsidR="00F02911" w:rsidRPr="00AC6CE7" w:rsidRDefault="00F02911" w:rsidP="00F02911">
            <w:r>
              <w:t>Индикатор</w:t>
            </w:r>
          </w:p>
        </w:tc>
        <w:tc>
          <w:tcPr>
            <w:tcW w:w="994" w:type="dxa"/>
            <w:shd w:val="clear" w:color="auto" w:fill="E2EFD9" w:themeFill="accent6" w:themeFillTint="33"/>
          </w:tcPr>
          <w:p w14:paraId="6EBA0CAB" w14:textId="77777777" w:rsidR="00F02911" w:rsidRDefault="00F02911" w:rsidP="00F02911">
            <w:r>
              <w:t>Степен на риска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7284E6BE" w14:textId="77777777" w:rsidR="00F02911" w:rsidRDefault="00F02911" w:rsidP="00F02911">
            <w:r w:rsidRPr="00AC6CE7">
              <w:t>Отговорно лице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6F94F324" w14:textId="77777777" w:rsidR="00F02911" w:rsidRDefault="00F02911" w:rsidP="00F02911">
            <w:r>
              <w:t>Причини при неизпълнение</w:t>
            </w:r>
          </w:p>
        </w:tc>
      </w:tr>
      <w:tr w:rsidR="00BF6737" w14:paraId="1B2A688F" w14:textId="77777777" w:rsidTr="00787292">
        <w:trPr>
          <w:trHeight w:val="992"/>
        </w:trPr>
        <w:tc>
          <w:tcPr>
            <w:tcW w:w="2691" w:type="dxa"/>
          </w:tcPr>
          <w:p w14:paraId="0CBF10AA" w14:textId="10C5D27A" w:rsidR="00F02911" w:rsidRDefault="00A7160E" w:rsidP="00F02911">
            <w:r>
              <w:t>5</w:t>
            </w:r>
            <w:r w:rsidR="00B23C60">
              <w:t>.</w:t>
            </w:r>
            <w:r w:rsidR="00A540D6">
              <w:t xml:space="preserve"> </w:t>
            </w:r>
            <w:r>
              <w:t>Предоставяне на с</w:t>
            </w:r>
            <w:r w:rsidR="00A540D6">
              <w:t>пец</w:t>
            </w:r>
            <w:r w:rsidR="00B239FA">
              <w:t xml:space="preserve">ифични </w:t>
            </w:r>
            <w:r>
              <w:t>административни услуги,</w:t>
            </w:r>
            <w:r w:rsidR="00A540D6">
              <w:t xml:space="preserve"> като ел</w:t>
            </w:r>
            <w:r w:rsidR="00354B06">
              <w:t>ектронни административни услуги;</w:t>
            </w:r>
          </w:p>
        </w:tc>
        <w:tc>
          <w:tcPr>
            <w:tcW w:w="2126" w:type="dxa"/>
            <w:gridSpan w:val="2"/>
          </w:tcPr>
          <w:p w14:paraId="18EF0328" w14:textId="77777777" w:rsidR="00F02911" w:rsidRDefault="00B23C60" w:rsidP="00F02911">
            <w:r>
              <w:t>Организационна</w:t>
            </w:r>
          </w:p>
        </w:tc>
        <w:tc>
          <w:tcPr>
            <w:tcW w:w="1988" w:type="dxa"/>
            <w:gridSpan w:val="2"/>
          </w:tcPr>
          <w:p w14:paraId="2458CE41" w14:textId="77777777" w:rsidR="00F02911" w:rsidRDefault="005E4F6E" w:rsidP="00F02911">
            <w:r>
              <w:t>При</w:t>
            </w:r>
            <w:r w:rsidR="00B23C60">
              <w:t>веждане на корупционния риск от статус нисък в статус- не съществува такъв</w:t>
            </w:r>
            <w:r w:rsidR="00A540D6">
              <w:t>.</w:t>
            </w:r>
          </w:p>
        </w:tc>
        <w:tc>
          <w:tcPr>
            <w:tcW w:w="1701" w:type="dxa"/>
            <w:gridSpan w:val="2"/>
          </w:tcPr>
          <w:p w14:paraId="7DED5A58" w14:textId="77777777" w:rsidR="00F02911" w:rsidRDefault="00B23C60" w:rsidP="00F02911">
            <w:r>
              <w:t>31.12.2018г.</w:t>
            </w:r>
          </w:p>
        </w:tc>
        <w:tc>
          <w:tcPr>
            <w:tcW w:w="1977" w:type="dxa"/>
            <w:gridSpan w:val="2"/>
          </w:tcPr>
          <w:p w14:paraId="698C9F41" w14:textId="0BDF42AE" w:rsidR="002D0AA7" w:rsidRDefault="00DA7F21" w:rsidP="00F02911">
            <w:r w:rsidRPr="00586CD8">
              <w:t>Анализ на уд</w:t>
            </w:r>
            <w:r w:rsidR="002F14CC" w:rsidRPr="00586CD8">
              <w:t>о</w:t>
            </w:r>
            <w:r w:rsidR="002D0AA7">
              <w:t>влетворенос</w:t>
            </w:r>
            <w:r w:rsidR="006D1B15">
              <w:t>т</w:t>
            </w:r>
          </w:p>
          <w:p w14:paraId="1FD656D0" w14:textId="0F0DD49F" w:rsidR="002D0AA7" w:rsidRDefault="00DA7F21" w:rsidP="00F02911">
            <w:r w:rsidRPr="00586CD8">
              <w:t>та, чрез използване на</w:t>
            </w:r>
            <w:r w:rsidR="009718C8" w:rsidRPr="00586CD8">
              <w:t xml:space="preserve"> а</w:t>
            </w:r>
            <w:r w:rsidR="00A540D6" w:rsidRPr="00586CD8">
              <w:t>нонимни анкети</w:t>
            </w:r>
            <w:r w:rsidR="002D0AA7">
              <w:t xml:space="preserve"> за измерване на удовлетворенос</w:t>
            </w:r>
            <w:r w:rsidR="006D1B15">
              <w:t>т</w:t>
            </w:r>
          </w:p>
          <w:p w14:paraId="59BFA6D8" w14:textId="7CCD3144" w:rsidR="003C29BE" w:rsidRDefault="00A540D6" w:rsidP="00F02911">
            <w:r w:rsidRPr="00586CD8">
              <w:t xml:space="preserve">та на потребителите на </w:t>
            </w:r>
            <w:proofErr w:type="spellStart"/>
            <w:r w:rsidRPr="00586CD8">
              <w:t>административ</w:t>
            </w:r>
            <w:proofErr w:type="spellEnd"/>
          </w:p>
          <w:p w14:paraId="15AFCDCB" w14:textId="162D1F95" w:rsidR="00F02911" w:rsidRDefault="00A540D6" w:rsidP="005A561D">
            <w:r w:rsidRPr="00586CD8">
              <w:t>ни услуги</w:t>
            </w:r>
            <w:r w:rsidR="005A561D">
              <w:t>.</w:t>
            </w:r>
          </w:p>
        </w:tc>
        <w:tc>
          <w:tcPr>
            <w:tcW w:w="994" w:type="dxa"/>
          </w:tcPr>
          <w:p w14:paraId="1476A6E9" w14:textId="77777777" w:rsidR="00F02911" w:rsidRDefault="00DC1697" w:rsidP="00F02911">
            <w:r>
              <w:t>Нисък</w:t>
            </w:r>
          </w:p>
        </w:tc>
        <w:tc>
          <w:tcPr>
            <w:tcW w:w="1984" w:type="dxa"/>
            <w:gridSpan w:val="2"/>
          </w:tcPr>
          <w:p w14:paraId="26EDFB08" w14:textId="77777777" w:rsidR="00F02911" w:rsidRDefault="00A540D6" w:rsidP="00F02911">
            <w:r>
              <w:t>Началник на отдел „Административно обслужване“</w:t>
            </w:r>
          </w:p>
          <w:p w14:paraId="12C43933" w14:textId="363AF567" w:rsidR="00207BEB" w:rsidRDefault="00207BEB" w:rsidP="00F02911"/>
        </w:tc>
        <w:tc>
          <w:tcPr>
            <w:tcW w:w="1707" w:type="dxa"/>
          </w:tcPr>
          <w:p w14:paraId="0CD32476" w14:textId="77777777" w:rsidR="00F02911" w:rsidRPr="00DC1697" w:rsidRDefault="00DC1697" w:rsidP="00F02911">
            <w:pPr>
              <w:rPr>
                <w:highlight w:val="yellow"/>
              </w:rPr>
            </w:pPr>
            <w:r w:rsidRPr="00A7160E">
              <w:t>няма</w:t>
            </w:r>
          </w:p>
        </w:tc>
      </w:tr>
      <w:tr w:rsidR="00F02911" w14:paraId="7E241527" w14:textId="77777777" w:rsidTr="005B4D52">
        <w:trPr>
          <w:trHeight w:val="755"/>
        </w:trPr>
        <w:tc>
          <w:tcPr>
            <w:tcW w:w="15168" w:type="dxa"/>
            <w:gridSpan w:val="13"/>
            <w:shd w:val="clear" w:color="auto" w:fill="A8D08D" w:themeFill="accent6" w:themeFillTint="99"/>
          </w:tcPr>
          <w:p w14:paraId="4050FDC4" w14:textId="77777777" w:rsidR="00F02911" w:rsidRDefault="00F02911" w:rsidP="00F02911">
            <w: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BF6737" w14:paraId="186ADE04" w14:textId="77777777" w:rsidTr="001869A6">
        <w:trPr>
          <w:trHeight w:val="301"/>
        </w:trPr>
        <w:tc>
          <w:tcPr>
            <w:tcW w:w="2691" w:type="dxa"/>
            <w:shd w:val="clear" w:color="auto" w:fill="E2EFD9" w:themeFill="accent6" w:themeFillTint="33"/>
          </w:tcPr>
          <w:p w14:paraId="494C67E9" w14:textId="77777777" w:rsidR="00F02911" w:rsidRPr="00AC6CE7" w:rsidRDefault="00F02911" w:rsidP="00F02911">
            <w:r w:rsidRPr="00AC6CE7">
              <w:t>Описание на мярката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</w:tcPr>
          <w:p w14:paraId="133B4178" w14:textId="77777777" w:rsidR="00F02911" w:rsidRPr="00AC6CE7" w:rsidRDefault="00F02911" w:rsidP="00F02911">
            <w:r w:rsidRPr="00AC6CE7">
              <w:t xml:space="preserve">Насоченост на мярката – организационен/ кадрови/ промени </w:t>
            </w:r>
            <w:r w:rsidRPr="00AC6CE7">
              <w:lastRenderedPageBreak/>
              <w:t>в нормативната уредба</w:t>
            </w:r>
          </w:p>
        </w:tc>
        <w:tc>
          <w:tcPr>
            <w:tcW w:w="1988" w:type="dxa"/>
            <w:gridSpan w:val="2"/>
            <w:shd w:val="clear" w:color="auto" w:fill="E2EFD9" w:themeFill="accent6" w:themeFillTint="33"/>
          </w:tcPr>
          <w:p w14:paraId="634B5AAE" w14:textId="77777777" w:rsidR="00F02911" w:rsidRPr="00AC6CE7" w:rsidRDefault="00F02911" w:rsidP="00F02911">
            <w:r w:rsidRPr="00AC6CE7">
              <w:lastRenderedPageBreak/>
              <w:t xml:space="preserve">Крайна цел на мярката 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5CE2A6FE" w14:textId="77777777" w:rsidR="00F02911" w:rsidRPr="00AC6CE7" w:rsidRDefault="00F02911" w:rsidP="00F02911">
            <w:r>
              <w:t>Срок за изпълнение и етапи</w:t>
            </w:r>
          </w:p>
        </w:tc>
        <w:tc>
          <w:tcPr>
            <w:tcW w:w="1977" w:type="dxa"/>
            <w:gridSpan w:val="2"/>
            <w:shd w:val="clear" w:color="auto" w:fill="E2EFD9" w:themeFill="accent6" w:themeFillTint="33"/>
          </w:tcPr>
          <w:p w14:paraId="7E2D39AF" w14:textId="77777777" w:rsidR="00F02911" w:rsidRPr="00AC6CE7" w:rsidRDefault="00F02911" w:rsidP="00F02911">
            <w:r>
              <w:t xml:space="preserve">Индикатор </w:t>
            </w:r>
          </w:p>
        </w:tc>
        <w:tc>
          <w:tcPr>
            <w:tcW w:w="994" w:type="dxa"/>
            <w:shd w:val="clear" w:color="auto" w:fill="E2EFD9" w:themeFill="accent6" w:themeFillTint="33"/>
          </w:tcPr>
          <w:p w14:paraId="280ADF7E" w14:textId="77777777" w:rsidR="00F02911" w:rsidRDefault="00F02911" w:rsidP="00F02911">
            <w:r>
              <w:t>Степен на риска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442CB46C" w14:textId="77777777" w:rsidR="00F02911" w:rsidRDefault="00F02911" w:rsidP="00F02911">
            <w:r w:rsidRPr="00AC6CE7">
              <w:t>Отговорно лице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0212704D" w14:textId="77777777" w:rsidR="00F02911" w:rsidRDefault="00F02911" w:rsidP="00F02911">
            <w:r>
              <w:t>Причини при неизпълнение</w:t>
            </w:r>
          </w:p>
        </w:tc>
      </w:tr>
      <w:tr w:rsidR="00BF6737" w14:paraId="3D40CCC0" w14:textId="77777777" w:rsidTr="001869A6">
        <w:trPr>
          <w:trHeight w:val="858"/>
        </w:trPr>
        <w:tc>
          <w:tcPr>
            <w:tcW w:w="2691" w:type="dxa"/>
          </w:tcPr>
          <w:p w14:paraId="661FB33E" w14:textId="2C0373CE" w:rsidR="00D016B6" w:rsidRDefault="00D016B6" w:rsidP="001647F4">
            <w:r>
              <w:lastRenderedPageBreak/>
              <w:t>Неприложимо –</w:t>
            </w:r>
          </w:p>
          <w:p w14:paraId="56D40117" w14:textId="6337610F" w:rsidR="00F02911" w:rsidRPr="002F14CC" w:rsidRDefault="0073074C" w:rsidP="001647F4">
            <w:pPr>
              <w:rPr>
                <w:color w:val="FF0000"/>
              </w:rPr>
            </w:pPr>
            <w:r>
              <w:t>В агенцията не се провеждат състезателни процедури/конкурси за вписване на лица в регистри или за извършване на нормативно регламентирани професии.</w:t>
            </w:r>
          </w:p>
        </w:tc>
        <w:tc>
          <w:tcPr>
            <w:tcW w:w="2126" w:type="dxa"/>
            <w:gridSpan w:val="2"/>
          </w:tcPr>
          <w:p w14:paraId="1E3AC4B2" w14:textId="1014CE9F" w:rsidR="00F02911" w:rsidRPr="002F14CC" w:rsidRDefault="00F02911" w:rsidP="00F02911">
            <w:pPr>
              <w:rPr>
                <w:color w:val="FF0000"/>
              </w:rPr>
            </w:pPr>
          </w:p>
        </w:tc>
        <w:tc>
          <w:tcPr>
            <w:tcW w:w="1988" w:type="dxa"/>
            <w:gridSpan w:val="2"/>
          </w:tcPr>
          <w:p w14:paraId="4F98A55F" w14:textId="472FCE94" w:rsidR="00F02911" w:rsidRPr="002F14CC" w:rsidRDefault="00F02911" w:rsidP="00DC1951">
            <w:pPr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2E0D1D02" w14:textId="7A331B48" w:rsidR="00F02911" w:rsidRPr="002F14CC" w:rsidRDefault="00F02911" w:rsidP="00F02911">
            <w:pPr>
              <w:rPr>
                <w:color w:val="FF0000"/>
              </w:rPr>
            </w:pPr>
          </w:p>
        </w:tc>
        <w:tc>
          <w:tcPr>
            <w:tcW w:w="1977" w:type="dxa"/>
            <w:gridSpan w:val="2"/>
          </w:tcPr>
          <w:p w14:paraId="481E93FE" w14:textId="342F4E30" w:rsidR="00D81782" w:rsidRPr="002F14CC" w:rsidRDefault="00D81782" w:rsidP="000A4CA8">
            <w:pPr>
              <w:rPr>
                <w:color w:val="FF0000"/>
              </w:rPr>
            </w:pPr>
          </w:p>
        </w:tc>
        <w:tc>
          <w:tcPr>
            <w:tcW w:w="994" w:type="dxa"/>
          </w:tcPr>
          <w:p w14:paraId="58204EF0" w14:textId="4BEFBCEE" w:rsidR="00F02911" w:rsidRPr="002F14CC" w:rsidRDefault="00F02911" w:rsidP="00F02911">
            <w:pPr>
              <w:rPr>
                <w:color w:val="FF0000"/>
              </w:rPr>
            </w:pPr>
          </w:p>
        </w:tc>
        <w:tc>
          <w:tcPr>
            <w:tcW w:w="1984" w:type="dxa"/>
            <w:gridSpan w:val="2"/>
          </w:tcPr>
          <w:p w14:paraId="7ABFA6D0" w14:textId="037C204C" w:rsidR="002B7AA5" w:rsidRPr="002F14CC" w:rsidRDefault="002B7AA5" w:rsidP="002B7AA5">
            <w:pPr>
              <w:rPr>
                <w:color w:val="FF0000"/>
              </w:rPr>
            </w:pPr>
          </w:p>
        </w:tc>
        <w:tc>
          <w:tcPr>
            <w:tcW w:w="1707" w:type="dxa"/>
          </w:tcPr>
          <w:p w14:paraId="256F634A" w14:textId="4A1A3015" w:rsidR="00592229" w:rsidRPr="002F14CC" w:rsidRDefault="00592229" w:rsidP="00F02911">
            <w:pPr>
              <w:rPr>
                <w:color w:val="FF0000"/>
              </w:rPr>
            </w:pPr>
          </w:p>
        </w:tc>
      </w:tr>
      <w:tr w:rsidR="00F02911" w14:paraId="45E0297D" w14:textId="77777777" w:rsidTr="005B4D52">
        <w:trPr>
          <w:trHeight w:val="667"/>
        </w:trPr>
        <w:tc>
          <w:tcPr>
            <w:tcW w:w="15168" w:type="dxa"/>
            <w:gridSpan w:val="13"/>
            <w:shd w:val="clear" w:color="auto" w:fill="A8D08D" w:themeFill="accent6" w:themeFillTint="99"/>
          </w:tcPr>
          <w:p w14:paraId="79FBA46F" w14:textId="514FD28F" w:rsidR="00F02911" w:rsidRDefault="00F02911" w:rsidP="00F02911">
            <w:r>
              <w:t>Корупционен риск – празноти в закони и/или неясна нормативна уредба, водещи до противоречиво тълкуване и/или прилагане на нормативните актове</w:t>
            </w:r>
          </w:p>
        </w:tc>
      </w:tr>
      <w:tr w:rsidR="00BF6737" w14:paraId="71FE07AB" w14:textId="77777777" w:rsidTr="001869A6">
        <w:trPr>
          <w:trHeight w:val="1234"/>
        </w:trPr>
        <w:tc>
          <w:tcPr>
            <w:tcW w:w="2691" w:type="dxa"/>
            <w:shd w:val="clear" w:color="auto" w:fill="E2EFD9" w:themeFill="accent6" w:themeFillTint="33"/>
          </w:tcPr>
          <w:p w14:paraId="43A4814B" w14:textId="77777777" w:rsidR="00F02911" w:rsidRPr="00AC6CE7" w:rsidRDefault="00F02911" w:rsidP="00F02911">
            <w:r w:rsidRPr="00AC6CE7">
              <w:t>Описание на мярката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</w:tcPr>
          <w:p w14:paraId="1900EEC5" w14:textId="77777777" w:rsidR="00F02911" w:rsidRPr="00AC6CE7" w:rsidRDefault="00F02911" w:rsidP="00F02911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E2EFD9" w:themeFill="accent6" w:themeFillTint="33"/>
          </w:tcPr>
          <w:p w14:paraId="53D4AAD8" w14:textId="77777777" w:rsidR="00F02911" w:rsidRPr="00AC6CE7" w:rsidRDefault="00F02911" w:rsidP="00F02911">
            <w:r w:rsidRPr="00AC6CE7">
              <w:t xml:space="preserve">Крайна цел на мярката 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20AB11EA" w14:textId="77777777" w:rsidR="00F02911" w:rsidRPr="00AC6CE7" w:rsidRDefault="00F02911" w:rsidP="00F02911">
            <w:r>
              <w:t>Срок за изпълнение и етапи</w:t>
            </w:r>
          </w:p>
        </w:tc>
        <w:tc>
          <w:tcPr>
            <w:tcW w:w="1977" w:type="dxa"/>
            <w:gridSpan w:val="2"/>
            <w:shd w:val="clear" w:color="auto" w:fill="E2EFD9" w:themeFill="accent6" w:themeFillTint="33"/>
          </w:tcPr>
          <w:p w14:paraId="5DDAF1A2" w14:textId="77777777" w:rsidR="00F02911" w:rsidRPr="00AC6CE7" w:rsidRDefault="00F02911" w:rsidP="00F02911">
            <w:r>
              <w:t xml:space="preserve">Индикатор </w:t>
            </w:r>
          </w:p>
        </w:tc>
        <w:tc>
          <w:tcPr>
            <w:tcW w:w="994" w:type="dxa"/>
            <w:shd w:val="clear" w:color="auto" w:fill="E2EFD9" w:themeFill="accent6" w:themeFillTint="33"/>
          </w:tcPr>
          <w:p w14:paraId="3374B376" w14:textId="77777777" w:rsidR="00F02911" w:rsidRDefault="00F02911" w:rsidP="00F02911">
            <w:r>
              <w:t>Степен на риска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1F158704" w14:textId="77777777" w:rsidR="00F02911" w:rsidRDefault="00F02911" w:rsidP="00F02911">
            <w:r w:rsidRPr="00AC6CE7">
              <w:t>Отговорно лице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7E9736E" w14:textId="77777777" w:rsidR="00F02911" w:rsidRDefault="00F02911" w:rsidP="00F02911">
            <w:r>
              <w:t>Причини при неизпълнение</w:t>
            </w:r>
          </w:p>
        </w:tc>
      </w:tr>
      <w:tr w:rsidR="00E86078" w14:paraId="17E3B412" w14:textId="77777777" w:rsidTr="001869A6">
        <w:trPr>
          <w:trHeight w:val="1616"/>
        </w:trPr>
        <w:tc>
          <w:tcPr>
            <w:tcW w:w="2691" w:type="dxa"/>
          </w:tcPr>
          <w:p w14:paraId="0E776A47" w14:textId="77777777" w:rsidR="00D016B6" w:rsidRDefault="00D016B6" w:rsidP="00D016B6">
            <w:r>
              <w:t xml:space="preserve">Неприложимо – </w:t>
            </w:r>
          </w:p>
          <w:p w14:paraId="1634EAF4" w14:textId="433406E6" w:rsidR="00D016B6" w:rsidRDefault="00D016B6" w:rsidP="00D016B6">
            <w:r>
              <w:t xml:space="preserve">Не са установени </w:t>
            </w:r>
            <w:r w:rsidR="00E834E3">
              <w:t xml:space="preserve">празноти в закони и </w:t>
            </w:r>
            <w:r>
              <w:t>противоречия</w:t>
            </w:r>
            <w:r w:rsidR="00EF0578">
              <w:t xml:space="preserve"> при прилагането на законите/</w:t>
            </w:r>
            <w:r>
              <w:t>нормативните разпоредби.</w:t>
            </w:r>
          </w:p>
          <w:p w14:paraId="7222AA5A" w14:textId="44446622" w:rsidR="007360D7" w:rsidRDefault="007360D7" w:rsidP="00F02911"/>
        </w:tc>
        <w:tc>
          <w:tcPr>
            <w:tcW w:w="2126" w:type="dxa"/>
            <w:gridSpan w:val="2"/>
          </w:tcPr>
          <w:p w14:paraId="36EE4531" w14:textId="47452FB7" w:rsidR="00E86078" w:rsidRDefault="00E86078" w:rsidP="00F02911"/>
        </w:tc>
        <w:tc>
          <w:tcPr>
            <w:tcW w:w="1988" w:type="dxa"/>
            <w:gridSpan w:val="2"/>
          </w:tcPr>
          <w:p w14:paraId="6DE14470" w14:textId="03CC14C3" w:rsidR="00E86078" w:rsidRDefault="00E86078" w:rsidP="00F02911"/>
        </w:tc>
        <w:tc>
          <w:tcPr>
            <w:tcW w:w="1701" w:type="dxa"/>
            <w:gridSpan w:val="2"/>
          </w:tcPr>
          <w:p w14:paraId="2CDAE12B" w14:textId="2DF75030" w:rsidR="00E86078" w:rsidRDefault="00E86078" w:rsidP="00E86078"/>
        </w:tc>
        <w:tc>
          <w:tcPr>
            <w:tcW w:w="1977" w:type="dxa"/>
            <w:gridSpan w:val="2"/>
          </w:tcPr>
          <w:p w14:paraId="63FCED7C" w14:textId="6761CCB6" w:rsidR="00E86078" w:rsidRDefault="00E86078" w:rsidP="00F02911"/>
        </w:tc>
        <w:tc>
          <w:tcPr>
            <w:tcW w:w="994" w:type="dxa"/>
          </w:tcPr>
          <w:p w14:paraId="792F9718" w14:textId="350DA438" w:rsidR="00E86078" w:rsidRDefault="00E86078" w:rsidP="00F02911"/>
        </w:tc>
        <w:tc>
          <w:tcPr>
            <w:tcW w:w="1984" w:type="dxa"/>
            <w:gridSpan w:val="2"/>
          </w:tcPr>
          <w:p w14:paraId="31C466E2" w14:textId="559E4D70" w:rsidR="00E86078" w:rsidRDefault="00E86078" w:rsidP="00036571"/>
        </w:tc>
        <w:tc>
          <w:tcPr>
            <w:tcW w:w="1707" w:type="dxa"/>
          </w:tcPr>
          <w:p w14:paraId="56ABCCFC" w14:textId="4CC209AD" w:rsidR="00592229" w:rsidRDefault="00592229" w:rsidP="00F02911"/>
        </w:tc>
      </w:tr>
      <w:tr w:rsidR="00F02911" w14:paraId="3CE3F423" w14:textId="77777777" w:rsidTr="005B4D52">
        <w:trPr>
          <w:trHeight w:val="708"/>
        </w:trPr>
        <w:tc>
          <w:tcPr>
            <w:tcW w:w="15168" w:type="dxa"/>
            <w:gridSpan w:val="13"/>
            <w:shd w:val="clear" w:color="auto" w:fill="A8D08D" w:themeFill="accent6" w:themeFillTint="99"/>
          </w:tcPr>
          <w:p w14:paraId="157FC5D2" w14:textId="018A4371" w:rsidR="00F02911" w:rsidRPr="00A0456A" w:rsidRDefault="003C39E2" w:rsidP="00F02911">
            <w:r>
              <w:t>М</w:t>
            </w:r>
            <w:r w:rsidR="00824BFE">
              <w:t>ерки с оглед специфичните рискове</w:t>
            </w:r>
            <w:r>
              <w:t>,</w:t>
            </w:r>
            <w:r w:rsidR="00824BFE">
              <w:t xml:space="preserve"> </w:t>
            </w:r>
            <w:r w:rsidR="00B579B3">
              <w:t xml:space="preserve">идентифицирани от </w:t>
            </w:r>
            <w:r w:rsidR="001A60DB">
              <w:t xml:space="preserve">Държавна агенция „Електронно управление“ </w:t>
            </w:r>
            <w:r w:rsidR="00B579B3">
              <w:t xml:space="preserve">с насоченост към </w:t>
            </w:r>
            <w:r w:rsidR="00B82F06" w:rsidRPr="00A0456A">
              <w:t>други административни органи</w:t>
            </w:r>
            <w:r w:rsidR="000375EE" w:rsidRPr="00A0456A">
              <w:t>.</w:t>
            </w:r>
            <w:r w:rsidR="001A60DB" w:rsidRPr="00A0456A">
              <w:t xml:space="preserve"> </w:t>
            </w:r>
          </w:p>
          <w:p w14:paraId="61D4D45E" w14:textId="77777777" w:rsidR="007265A0" w:rsidRDefault="007265A0" w:rsidP="00F02911"/>
        </w:tc>
      </w:tr>
      <w:tr w:rsidR="00BF6737" w14:paraId="58A14829" w14:textId="77777777" w:rsidTr="001869A6">
        <w:trPr>
          <w:trHeight w:val="270"/>
        </w:trPr>
        <w:tc>
          <w:tcPr>
            <w:tcW w:w="2691" w:type="dxa"/>
            <w:shd w:val="clear" w:color="auto" w:fill="E2EFD9" w:themeFill="accent6" w:themeFillTint="33"/>
          </w:tcPr>
          <w:p w14:paraId="1019C254" w14:textId="77777777" w:rsidR="00F02911" w:rsidRPr="00AC6CE7" w:rsidRDefault="00F02911" w:rsidP="00F02911">
            <w:r w:rsidRPr="00AC6CE7">
              <w:lastRenderedPageBreak/>
              <w:t>Описание на мярката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</w:tcPr>
          <w:p w14:paraId="4740BB4D" w14:textId="77777777" w:rsidR="00F02911" w:rsidRPr="00AC6CE7" w:rsidRDefault="00F02911" w:rsidP="00F02911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E2EFD9" w:themeFill="accent6" w:themeFillTint="33"/>
          </w:tcPr>
          <w:p w14:paraId="195E47F3" w14:textId="77777777" w:rsidR="00F02911" w:rsidRPr="00AC6CE7" w:rsidRDefault="00F02911" w:rsidP="00F02911">
            <w:r w:rsidRPr="00AC6CE7">
              <w:t xml:space="preserve">Крайна цел на мярката 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50FAF9FC" w14:textId="77777777" w:rsidR="00F02911" w:rsidRPr="00AC6CE7" w:rsidRDefault="00F02911" w:rsidP="00F02911">
            <w:r>
              <w:t>Срок за изпълнение и етапи</w:t>
            </w:r>
          </w:p>
        </w:tc>
        <w:tc>
          <w:tcPr>
            <w:tcW w:w="1977" w:type="dxa"/>
            <w:gridSpan w:val="2"/>
            <w:shd w:val="clear" w:color="auto" w:fill="E2EFD9" w:themeFill="accent6" w:themeFillTint="33"/>
          </w:tcPr>
          <w:p w14:paraId="4755280A" w14:textId="77777777" w:rsidR="00F02911" w:rsidRPr="000A6319" w:rsidRDefault="00F02911" w:rsidP="00F02911">
            <w:r w:rsidRPr="000A6319">
              <w:t xml:space="preserve">Индикатор </w:t>
            </w:r>
          </w:p>
        </w:tc>
        <w:tc>
          <w:tcPr>
            <w:tcW w:w="994" w:type="dxa"/>
            <w:shd w:val="clear" w:color="auto" w:fill="E2EFD9" w:themeFill="accent6" w:themeFillTint="33"/>
          </w:tcPr>
          <w:p w14:paraId="28EDEC43" w14:textId="77777777" w:rsidR="00F02911" w:rsidRDefault="00F02911" w:rsidP="00F02911">
            <w:r>
              <w:t>Степен на риска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4A8D9E01" w14:textId="77777777" w:rsidR="00F02911" w:rsidRDefault="00F02911" w:rsidP="00F02911">
            <w:r w:rsidRPr="00AC6CE7">
              <w:t>Отговорно лице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35F37A22" w14:textId="77777777" w:rsidR="00F02911" w:rsidRDefault="00F02911" w:rsidP="00F02911">
            <w:r>
              <w:t>Причини при неизпълнение</w:t>
            </w:r>
          </w:p>
        </w:tc>
      </w:tr>
      <w:tr w:rsidR="000B2E3F" w14:paraId="075416BF" w14:textId="77777777" w:rsidTr="001869A6">
        <w:trPr>
          <w:trHeight w:val="1559"/>
        </w:trPr>
        <w:tc>
          <w:tcPr>
            <w:tcW w:w="2691" w:type="dxa"/>
            <w:shd w:val="clear" w:color="auto" w:fill="FFFFFF" w:themeFill="background1"/>
          </w:tcPr>
          <w:p w14:paraId="00F2C8A2" w14:textId="0100C9DA" w:rsidR="000B2E3F" w:rsidRDefault="006F6091" w:rsidP="00F02911">
            <w:r>
              <w:t>6</w:t>
            </w:r>
            <w:r w:rsidR="004D49FD">
              <w:t xml:space="preserve">. </w:t>
            </w:r>
            <w:r w:rsidR="005071A4">
              <w:t>Р</w:t>
            </w:r>
            <w:r w:rsidR="005071A4" w:rsidRPr="008D330F">
              <w:t>азработ</w:t>
            </w:r>
            <w:r w:rsidR="005071A4">
              <w:t>ване</w:t>
            </w:r>
            <w:r w:rsidR="005071A4" w:rsidRPr="008D330F">
              <w:t xml:space="preserve"> и утвър</w:t>
            </w:r>
            <w:r w:rsidR="005071A4">
              <w:t>ж</w:t>
            </w:r>
            <w:r w:rsidR="005071A4" w:rsidRPr="008D330F">
              <w:t>д</w:t>
            </w:r>
            <w:r w:rsidR="005071A4">
              <w:t>аване на</w:t>
            </w:r>
            <w:r w:rsidR="005071A4" w:rsidRPr="008D330F">
              <w:t xml:space="preserve"> </w:t>
            </w:r>
            <w:r w:rsidR="005071A4" w:rsidRPr="00FC0259">
              <w:rPr>
                <w:u w:val="single"/>
              </w:rPr>
              <w:t>Правила</w:t>
            </w:r>
            <w:r w:rsidR="005071A4" w:rsidRPr="008D330F">
              <w:t xml:space="preserve"> за предварително съгласуване на разходите на административните органи в областта на електронното управление и за използваните от тях информационни и комуникационни технологии в рамките на бюджетния процес и приложения към тях</w:t>
            </w:r>
            <w:r w:rsidR="00354B06">
              <w:t>;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7D07AD43" w14:textId="77777777" w:rsidR="000B2E3F" w:rsidRDefault="005071A4" w:rsidP="00F02911">
            <w:r>
              <w:t>Всички административни органи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2A8EEF4F" w14:textId="77777777" w:rsidR="000B2E3F" w:rsidRDefault="005071A4" w:rsidP="00F02911">
            <w:r>
              <w:t>Контрол на разходите на административните органи в областта на електронното управление и ИКТ, намаляване на нерегламентираните разходи и ограничаване на корупционния риск при разходване на публични средства за е-управление.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87F7467" w14:textId="77777777" w:rsidR="005071A4" w:rsidRDefault="005071A4" w:rsidP="005071A4">
            <w:pPr>
              <w:tabs>
                <w:tab w:val="left" w:pos="455"/>
              </w:tabs>
            </w:pPr>
            <w:r>
              <w:t xml:space="preserve">Постоянна мярка. </w:t>
            </w:r>
          </w:p>
          <w:p w14:paraId="5CA170ED" w14:textId="77777777" w:rsidR="005071A4" w:rsidRDefault="005071A4" w:rsidP="005071A4">
            <w:pPr>
              <w:tabs>
                <w:tab w:val="left" w:pos="455"/>
              </w:tabs>
            </w:pPr>
            <w:r>
              <w:t>Етапи:</w:t>
            </w:r>
          </w:p>
          <w:p w14:paraId="38762850" w14:textId="77777777" w:rsidR="005071A4" w:rsidRDefault="005071A4" w:rsidP="005071A4">
            <w:pPr>
              <w:tabs>
                <w:tab w:val="left" w:pos="455"/>
              </w:tabs>
            </w:pPr>
            <w:r>
              <w:t xml:space="preserve">1.Приложение № 1 (за прогнози и проектобюджети) - </w:t>
            </w:r>
            <w:r w:rsidRPr="00EE7825">
              <w:t xml:space="preserve">в </w:t>
            </w:r>
            <w:r>
              <w:t xml:space="preserve">10 </w:t>
            </w:r>
            <w:r w:rsidRPr="00EE7825">
              <w:t xml:space="preserve">дневен срок от датата на утвърждаване на указанията на </w:t>
            </w:r>
            <w:r>
              <w:t>МФ</w:t>
            </w:r>
            <w:r w:rsidRPr="00EE7825">
              <w:t xml:space="preserve"> за подготовката на бюджетните документи в рамките на бюджетната процедура за съответната година</w:t>
            </w:r>
            <w:r>
              <w:t>;</w:t>
            </w:r>
          </w:p>
          <w:p w14:paraId="27F55457" w14:textId="77777777" w:rsidR="005071A4" w:rsidRDefault="005071A4" w:rsidP="005071A4">
            <w:pPr>
              <w:tabs>
                <w:tab w:val="left" w:pos="455"/>
              </w:tabs>
            </w:pPr>
            <w:r>
              <w:t xml:space="preserve">2.Приложение № 2 (за утвърдени бюджети) </w:t>
            </w:r>
            <w:r w:rsidRPr="005145E0">
              <w:t xml:space="preserve">в </w:t>
            </w:r>
            <w:r>
              <w:t xml:space="preserve">7 </w:t>
            </w:r>
            <w:r>
              <w:lastRenderedPageBreak/>
              <w:t>д</w:t>
            </w:r>
            <w:r w:rsidRPr="005145E0">
              <w:t xml:space="preserve">невен срок от датата на утвърждаване на указанията на </w:t>
            </w:r>
            <w:r>
              <w:t xml:space="preserve">МФ </w:t>
            </w:r>
            <w:r w:rsidRPr="005145E0">
              <w:t>за изпълнението на държавния бюджет и на сметките за средства от Европейския съюз</w:t>
            </w:r>
            <w:r>
              <w:t>;</w:t>
            </w:r>
          </w:p>
          <w:p w14:paraId="09B147D4" w14:textId="77777777" w:rsidR="005071A4" w:rsidRDefault="005071A4" w:rsidP="005071A4">
            <w:pPr>
              <w:tabs>
                <w:tab w:val="left" w:pos="455"/>
              </w:tabs>
            </w:pPr>
            <w:r>
              <w:t xml:space="preserve">3.Приложение № 2 (за тримесечни отчети) - </w:t>
            </w:r>
            <w:r w:rsidRPr="005145E0">
              <w:t xml:space="preserve">в </w:t>
            </w:r>
            <w:r>
              <w:t xml:space="preserve">7 дневен срок от </w:t>
            </w:r>
            <w:r w:rsidRPr="005145E0">
              <w:t>одобряването им от Информационната система за Управление на държавното съкровище на М</w:t>
            </w:r>
            <w:r>
              <w:t>Ф;</w:t>
            </w:r>
          </w:p>
          <w:p w14:paraId="711D48A9" w14:textId="77777777" w:rsidR="005071A4" w:rsidRDefault="005071A4" w:rsidP="005071A4">
            <w:pPr>
              <w:tabs>
                <w:tab w:val="left" w:pos="455"/>
              </w:tabs>
            </w:pPr>
            <w:r>
              <w:t xml:space="preserve">4.Приложение № 2 (за годишни отчети) – в 7 </w:t>
            </w:r>
            <w:r>
              <w:lastRenderedPageBreak/>
              <w:t>дневен срок от получаване на окончателния одитен доклад и одитно становище на Сметната палата</w:t>
            </w:r>
          </w:p>
          <w:p w14:paraId="0B796186" w14:textId="77777777" w:rsidR="005071A4" w:rsidRDefault="005071A4" w:rsidP="005071A4">
            <w:pPr>
              <w:tabs>
                <w:tab w:val="left" w:pos="455"/>
              </w:tabs>
            </w:pPr>
            <w:r>
              <w:t>5.Приложение № 4 (за п</w:t>
            </w:r>
            <w:r w:rsidRPr="00750FBB">
              <w:t xml:space="preserve">ромени на утвърдените целеви текущи и капиталови разходи                                         в областта на </w:t>
            </w:r>
            <w:r>
              <w:t>е-управление и</w:t>
            </w:r>
            <w:r w:rsidRPr="00750FBB">
              <w:t xml:space="preserve"> ИКТ</w:t>
            </w:r>
            <w:r>
              <w:t>) - при възникване на необходимост</w:t>
            </w:r>
          </w:p>
          <w:p w14:paraId="4A9F1B55" w14:textId="77777777" w:rsidR="000B2E3F" w:rsidRDefault="000B2E3F" w:rsidP="00F02911"/>
        </w:tc>
        <w:tc>
          <w:tcPr>
            <w:tcW w:w="1977" w:type="dxa"/>
            <w:gridSpan w:val="2"/>
            <w:shd w:val="clear" w:color="auto" w:fill="FFFFFF" w:themeFill="background1"/>
          </w:tcPr>
          <w:p w14:paraId="75C090EA" w14:textId="3565D57A" w:rsidR="000B2E3F" w:rsidRDefault="00BB50D1" w:rsidP="005071A4">
            <w:r>
              <w:lastRenderedPageBreak/>
              <w:t>У</w:t>
            </w:r>
            <w:r w:rsidR="00574717">
              <w:t>твърдени</w:t>
            </w:r>
            <w:r w:rsidR="00344654">
              <w:t xml:space="preserve"> правила</w:t>
            </w:r>
          </w:p>
        </w:tc>
        <w:tc>
          <w:tcPr>
            <w:tcW w:w="994" w:type="dxa"/>
            <w:shd w:val="clear" w:color="auto" w:fill="FFFFFF" w:themeFill="background1"/>
          </w:tcPr>
          <w:p w14:paraId="77845166" w14:textId="356AF420" w:rsidR="000B2E3F" w:rsidRDefault="00DE14AB" w:rsidP="00F02911">
            <w:r>
              <w:t>Нисък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DCDD0F6" w14:textId="660ACEF1" w:rsidR="00574717" w:rsidRDefault="00E07A1B" w:rsidP="00574717">
            <w:r>
              <w:t>Директор</w:t>
            </w:r>
            <w:r w:rsidR="00574717">
              <w:t xml:space="preserve"> на Дирекция „Политики за е-управление“</w:t>
            </w:r>
          </w:p>
          <w:p w14:paraId="2A33A194" w14:textId="28B25E06" w:rsidR="000B2E3F" w:rsidRDefault="000B2E3F" w:rsidP="00F02911"/>
        </w:tc>
        <w:tc>
          <w:tcPr>
            <w:tcW w:w="1707" w:type="dxa"/>
            <w:shd w:val="clear" w:color="auto" w:fill="FFFFFF" w:themeFill="background1"/>
          </w:tcPr>
          <w:p w14:paraId="0C5D7E8E" w14:textId="3E709BFC" w:rsidR="000B2E3F" w:rsidRDefault="00592229" w:rsidP="00F02911">
            <w:r>
              <w:t>Н</w:t>
            </w:r>
            <w:r w:rsidR="002768FD">
              <w:t>яма</w:t>
            </w:r>
          </w:p>
          <w:p w14:paraId="19CA776C" w14:textId="6F34843D" w:rsidR="00592229" w:rsidRDefault="00592229" w:rsidP="00F02911"/>
        </w:tc>
      </w:tr>
      <w:tr w:rsidR="00537B81" w14:paraId="59AC032B" w14:textId="77777777" w:rsidTr="00BC0FA4">
        <w:trPr>
          <w:trHeight w:val="850"/>
        </w:trPr>
        <w:tc>
          <w:tcPr>
            <w:tcW w:w="2691" w:type="dxa"/>
            <w:shd w:val="clear" w:color="auto" w:fill="FFFFFF" w:themeFill="background1"/>
          </w:tcPr>
          <w:p w14:paraId="3FF94CD1" w14:textId="0D533B3F" w:rsidR="00537B81" w:rsidRDefault="006F6091" w:rsidP="00F02911">
            <w:r>
              <w:lastRenderedPageBreak/>
              <w:t>7</w:t>
            </w:r>
            <w:r w:rsidR="004D49FD">
              <w:t xml:space="preserve">. </w:t>
            </w:r>
            <w:r w:rsidR="005071A4" w:rsidRPr="00BF37D2">
              <w:t>Разработ</w:t>
            </w:r>
            <w:r w:rsidR="005071A4">
              <w:t>ване</w:t>
            </w:r>
            <w:r w:rsidR="005071A4" w:rsidRPr="00BF37D2">
              <w:t xml:space="preserve"> съвместно с МФ приложение № 2ж в рамките на бюджетната процедура за контрол на разходите на административните органи за е-управление и ИКТ. Отделяне на </w:t>
            </w:r>
            <w:r w:rsidR="005071A4" w:rsidRPr="00BF37D2">
              <w:lastRenderedPageBreak/>
              <w:t>разходите от капиталови и издръжка, с це</w:t>
            </w:r>
            <w:r w:rsidR="00354B06">
              <w:t>л контрол и лесна проследяемост;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A04C6F0" w14:textId="77777777" w:rsidR="00537B81" w:rsidRDefault="005071A4" w:rsidP="00F02911">
            <w:r>
              <w:lastRenderedPageBreak/>
              <w:t xml:space="preserve">Всички първостепенни разпоредители с бюджет, административни органи по смисъла на ЗЕУ, с изключение на </w:t>
            </w:r>
            <w:r>
              <w:lastRenderedPageBreak/>
              <w:t>кметовете на общини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0450DD4D" w14:textId="14FC0815" w:rsidR="00537B81" w:rsidRDefault="005071A4" w:rsidP="00F02911">
            <w:r w:rsidRPr="00BF37D2">
              <w:lastRenderedPageBreak/>
              <w:t>Промяна на модела на планиране и отчитане на разходите за е-управление и ИКТ</w:t>
            </w:r>
            <w:r>
              <w:t>. Ограничаване на нерегламентиран</w:t>
            </w:r>
            <w:r>
              <w:lastRenderedPageBreak/>
              <w:t>ото разходване на публични средства за е-управление и ИКТ, намаляване на корупционния риск.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D468CF8" w14:textId="2E65F869" w:rsidR="00F00EF0" w:rsidRDefault="00F00EF0" w:rsidP="00F00EF0">
            <w:r>
              <w:lastRenderedPageBreak/>
              <w:t xml:space="preserve">Бюджетна процедура на МФ – предварително одобряване на предвидените разходи от Председателя </w:t>
            </w:r>
            <w:r>
              <w:lastRenderedPageBreak/>
              <w:t xml:space="preserve">на ДАЕУ преди представяне на бюджетните прогнози в МФ. </w:t>
            </w:r>
          </w:p>
          <w:p w14:paraId="069AD034" w14:textId="77777777" w:rsidR="00F00EF0" w:rsidRDefault="00F00EF0" w:rsidP="00F00EF0">
            <w:r>
              <w:t xml:space="preserve">Етапи: </w:t>
            </w:r>
          </w:p>
          <w:p w14:paraId="7C3200A7" w14:textId="77777777" w:rsidR="00F00EF0" w:rsidRDefault="00F00EF0" w:rsidP="00F00EF0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  <w:ind w:left="10" w:firstLine="137"/>
            </w:pPr>
            <w:r>
              <w:t>изготвяне на бюджетни прогнози от ПРБ – февруари 2018 г.</w:t>
            </w:r>
          </w:p>
          <w:p w14:paraId="254FF57D" w14:textId="13EAE879" w:rsidR="00F00EF0" w:rsidRDefault="00F00EF0" w:rsidP="00E461AB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  <w:ind w:left="10" w:firstLine="137"/>
            </w:pPr>
            <w:r>
              <w:t xml:space="preserve">актуализация на </w:t>
            </w:r>
            <w:r w:rsidRPr="00BF37D2">
              <w:t>бюджетни прогнози от ПРБ –</w:t>
            </w:r>
            <w:r>
              <w:t xml:space="preserve"> септември</w:t>
            </w:r>
            <w:r w:rsidR="00BC0FA4">
              <w:t xml:space="preserve"> 2018 г.</w:t>
            </w:r>
          </w:p>
          <w:p w14:paraId="078988C4" w14:textId="77777777" w:rsidR="00537B81" w:rsidRDefault="00537B81" w:rsidP="00F02911"/>
        </w:tc>
        <w:tc>
          <w:tcPr>
            <w:tcW w:w="1977" w:type="dxa"/>
            <w:gridSpan w:val="2"/>
            <w:shd w:val="clear" w:color="auto" w:fill="FFFFFF" w:themeFill="background1"/>
          </w:tcPr>
          <w:p w14:paraId="42507E33" w14:textId="72BFF906" w:rsidR="00537B81" w:rsidRDefault="00DE14AB" w:rsidP="00F02911">
            <w:r w:rsidRPr="00DE14AB">
              <w:lastRenderedPageBreak/>
              <w:t xml:space="preserve">Брой </w:t>
            </w:r>
            <w:proofErr w:type="spellStart"/>
            <w:r w:rsidRPr="00DE14AB">
              <w:t>неодобрени</w:t>
            </w:r>
            <w:proofErr w:type="spellEnd"/>
            <w:r w:rsidRPr="00DE14AB">
              <w:t xml:space="preserve"> тригодишни прогнози за бюджетите за е-управление на административните органи</w:t>
            </w:r>
          </w:p>
        </w:tc>
        <w:tc>
          <w:tcPr>
            <w:tcW w:w="994" w:type="dxa"/>
            <w:shd w:val="clear" w:color="auto" w:fill="FFFFFF" w:themeFill="background1"/>
          </w:tcPr>
          <w:p w14:paraId="7D74FC0E" w14:textId="4000EB7E" w:rsidR="00537B81" w:rsidRDefault="002768FD" w:rsidP="00F02911">
            <w:r>
              <w:t>Нисък</w:t>
            </w:r>
          </w:p>
          <w:p w14:paraId="250650CE" w14:textId="77777777" w:rsidR="002768FD" w:rsidRDefault="002768FD" w:rsidP="00F02911"/>
        </w:tc>
        <w:tc>
          <w:tcPr>
            <w:tcW w:w="1984" w:type="dxa"/>
            <w:gridSpan w:val="2"/>
            <w:shd w:val="clear" w:color="auto" w:fill="FFFFFF" w:themeFill="background1"/>
          </w:tcPr>
          <w:p w14:paraId="02A4A356" w14:textId="5838A181" w:rsidR="00574717" w:rsidRDefault="00421A15" w:rsidP="00574717">
            <w:r>
              <w:t>От страна на ДАЕУ –Директор на д</w:t>
            </w:r>
            <w:r w:rsidR="00574717">
              <w:t>ирекция „Политики за е-управление“</w:t>
            </w:r>
          </w:p>
          <w:p w14:paraId="7E56C659" w14:textId="0E0C22ED" w:rsidR="00537B81" w:rsidRDefault="00537B81" w:rsidP="00F02911"/>
        </w:tc>
        <w:tc>
          <w:tcPr>
            <w:tcW w:w="1707" w:type="dxa"/>
            <w:shd w:val="clear" w:color="auto" w:fill="FFFFFF" w:themeFill="background1"/>
          </w:tcPr>
          <w:p w14:paraId="7B5D6A9F" w14:textId="57AFBFCA" w:rsidR="00537B81" w:rsidRDefault="00592229" w:rsidP="00F02911">
            <w:r w:rsidRPr="00F4371A">
              <w:t>Н</w:t>
            </w:r>
            <w:r w:rsidR="002768FD" w:rsidRPr="00F4371A">
              <w:t>яма</w:t>
            </w:r>
          </w:p>
          <w:p w14:paraId="62044A87" w14:textId="7E571E5B" w:rsidR="00592229" w:rsidRDefault="00592229" w:rsidP="00F02911"/>
        </w:tc>
      </w:tr>
      <w:tr w:rsidR="00537B81" w14:paraId="21B10F12" w14:textId="77777777" w:rsidTr="001869A6">
        <w:trPr>
          <w:trHeight w:val="1559"/>
        </w:trPr>
        <w:tc>
          <w:tcPr>
            <w:tcW w:w="2691" w:type="dxa"/>
            <w:shd w:val="clear" w:color="auto" w:fill="FFFFFF" w:themeFill="background1"/>
          </w:tcPr>
          <w:p w14:paraId="0A2AA4F1" w14:textId="77777777" w:rsidR="00537B81" w:rsidRDefault="006F6091" w:rsidP="00F02911">
            <w:r>
              <w:lastRenderedPageBreak/>
              <w:t>8</w:t>
            </w:r>
            <w:r w:rsidR="004D49FD">
              <w:t xml:space="preserve">. </w:t>
            </w:r>
            <w:r w:rsidR="00F00EF0">
              <w:t xml:space="preserve">Публикуване на интернет страницата на ДАЕУ на получените </w:t>
            </w:r>
            <w:r w:rsidR="00354B06">
              <w:t>Приложения № 1 и приложение № 2</w:t>
            </w:r>
            <w:r w:rsidR="00F00EF0">
              <w:t xml:space="preserve">ж, с цел публичност и прозрачност на одобрените средства и стимулиране на мониторинг от страна </w:t>
            </w:r>
            <w:r w:rsidR="00F00EF0">
              <w:lastRenderedPageBreak/>
              <w:t>на гражданите при разходването им</w:t>
            </w:r>
            <w:r w:rsidR="00354B06">
              <w:t>;</w:t>
            </w:r>
          </w:p>
          <w:p w14:paraId="37027891" w14:textId="369C9462" w:rsidR="00101FED" w:rsidRDefault="00101FED" w:rsidP="00F02911"/>
          <w:p w14:paraId="4323A385" w14:textId="77777777" w:rsidR="00101FED" w:rsidRPr="00101FED" w:rsidRDefault="00101FED" w:rsidP="00101FED"/>
          <w:p w14:paraId="7650FAF6" w14:textId="77777777" w:rsidR="00101FED" w:rsidRPr="00101FED" w:rsidRDefault="00101FED" w:rsidP="00101FED"/>
          <w:p w14:paraId="2FF54EDE" w14:textId="4944FAA9" w:rsidR="00101FED" w:rsidRPr="00101FED" w:rsidRDefault="00101FED" w:rsidP="00101FED"/>
        </w:tc>
        <w:tc>
          <w:tcPr>
            <w:tcW w:w="2126" w:type="dxa"/>
            <w:gridSpan w:val="2"/>
            <w:shd w:val="clear" w:color="auto" w:fill="FFFFFF" w:themeFill="background1"/>
          </w:tcPr>
          <w:p w14:paraId="74D81463" w14:textId="77777777" w:rsidR="00537B81" w:rsidRDefault="00F00EF0" w:rsidP="00F02911">
            <w:r w:rsidRPr="003F5BFD">
              <w:lastRenderedPageBreak/>
              <w:t>Всички първостепенни разпоредители с бюджет, административни органи по смисъла на ЗЕУ, с изключение на кметовете на общини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2092FF45" w14:textId="77777777" w:rsidR="00537B81" w:rsidRDefault="00F00EF0" w:rsidP="00F02911">
            <w:r>
              <w:t xml:space="preserve">Публичност и прозрачност на одобрените разходи на административните органи за е-управление и ИКТ, граждански </w:t>
            </w:r>
            <w:r>
              <w:lastRenderedPageBreak/>
              <w:t>контрол при разходването им.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257C3B9" w14:textId="77777777" w:rsidR="00537B81" w:rsidRDefault="00F00EF0" w:rsidP="00F02911">
            <w:r>
              <w:lastRenderedPageBreak/>
              <w:t>До 30 работни дни от датата на приключване на процедурата в ДАЕУ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14:paraId="33FFE1F9" w14:textId="77777777" w:rsidR="00537B81" w:rsidRDefault="00F00EF0" w:rsidP="00F02911">
            <w:r>
              <w:t xml:space="preserve">Не е приложимо. Гражданите подават сигнали до компетентните органи. ДАЕУ не разполага с данни за получените сигнали, във </w:t>
            </w:r>
            <w:r>
              <w:lastRenderedPageBreak/>
              <w:t>връзка с публикуваната информация и за резултатите от тях.</w:t>
            </w:r>
          </w:p>
          <w:p w14:paraId="7A8CE498" w14:textId="77777777" w:rsidR="00101FED" w:rsidRDefault="00101FED" w:rsidP="00F02911"/>
          <w:p w14:paraId="3BFC58E3" w14:textId="77777777" w:rsidR="00101FED" w:rsidRDefault="00101FED" w:rsidP="00F02911"/>
        </w:tc>
        <w:tc>
          <w:tcPr>
            <w:tcW w:w="994" w:type="dxa"/>
            <w:shd w:val="clear" w:color="auto" w:fill="FFFFFF" w:themeFill="background1"/>
          </w:tcPr>
          <w:p w14:paraId="5AEADDA5" w14:textId="52B0EB21" w:rsidR="00537B81" w:rsidRDefault="00344654" w:rsidP="00F02911">
            <w:r>
              <w:lastRenderedPageBreak/>
              <w:t>Нисък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BA7907A" w14:textId="7280C1B6" w:rsidR="005962ED" w:rsidRDefault="00421A15" w:rsidP="005962ED">
            <w:r>
              <w:t>От страна на ДАЕУ –Директор на д</w:t>
            </w:r>
            <w:r w:rsidR="005962ED">
              <w:t>ирекция „Политики за е-управление“</w:t>
            </w:r>
          </w:p>
          <w:p w14:paraId="7F45F355" w14:textId="565E6964" w:rsidR="00537B81" w:rsidRDefault="00537B81" w:rsidP="00344654"/>
        </w:tc>
        <w:tc>
          <w:tcPr>
            <w:tcW w:w="1707" w:type="dxa"/>
            <w:shd w:val="clear" w:color="auto" w:fill="FFFFFF" w:themeFill="background1"/>
          </w:tcPr>
          <w:p w14:paraId="1B138D78" w14:textId="671D9228" w:rsidR="00537B81" w:rsidRDefault="00592229" w:rsidP="00F02911">
            <w:r>
              <w:t>Н</w:t>
            </w:r>
            <w:r w:rsidR="00CC7969">
              <w:t>яма</w:t>
            </w:r>
          </w:p>
          <w:p w14:paraId="747D0609" w14:textId="77777777" w:rsidR="00592229" w:rsidRDefault="00592229" w:rsidP="00F02911"/>
          <w:p w14:paraId="3994EF67" w14:textId="7D5BB426" w:rsidR="00592229" w:rsidRDefault="00592229" w:rsidP="00F02911"/>
        </w:tc>
      </w:tr>
      <w:tr w:rsidR="00B515FF" w14:paraId="2C7C0446" w14:textId="77777777" w:rsidTr="001869A6">
        <w:trPr>
          <w:trHeight w:val="1559"/>
        </w:trPr>
        <w:tc>
          <w:tcPr>
            <w:tcW w:w="2691" w:type="dxa"/>
            <w:shd w:val="clear" w:color="auto" w:fill="FFFFFF" w:themeFill="background1"/>
          </w:tcPr>
          <w:p w14:paraId="500BC5F9" w14:textId="748F5505" w:rsidR="00B515FF" w:rsidRDefault="00B515FF" w:rsidP="00B515FF">
            <w:r>
              <w:lastRenderedPageBreak/>
              <w:t>9. Извършване на проверки от служители на ДАЕУ с цел последващ контрол на предвидените и одобрени разходи за конкретни проекти и дейности в администрациите.</w:t>
            </w:r>
          </w:p>
          <w:p w14:paraId="6EB6C423" w14:textId="77777777" w:rsidR="00B515FF" w:rsidRDefault="00B515FF" w:rsidP="00B515FF">
            <w:r>
              <w:t>Контролиращите се определят на ротационен принцип и са представители на различни дирекции в ДАЕУ. Проверките са внезапни и непериодични.</w:t>
            </w:r>
          </w:p>
          <w:p w14:paraId="093024B1" w14:textId="58ECEEB3" w:rsidR="00B515FF" w:rsidRDefault="00B515FF" w:rsidP="00B515FF"/>
        </w:tc>
        <w:tc>
          <w:tcPr>
            <w:tcW w:w="2126" w:type="dxa"/>
            <w:gridSpan w:val="2"/>
            <w:shd w:val="clear" w:color="auto" w:fill="FFFFFF" w:themeFill="background1"/>
          </w:tcPr>
          <w:p w14:paraId="16FC5319" w14:textId="75246B36" w:rsidR="00B515FF" w:rsidRPr="003F5BFD" w:rsidRDefault="00B515FF" w:rsidP="00B515FF">
            <w:r>
              <w:t>Процесът на последващ контрол на одобрените и изразходени публични средства за е-управление и ИКТ.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7FDA0A39" w14:textId="77777777" w:rsidR="00B515FF" w:rsidRDefault="00B515FF" w:rsidP="00B515FF">
            <w:r>
              <w:t>Намаляване на корупционния риск при осъществяване на контрол на място в дадена администрация, чрез ротационния принцип на избор на служители, които да осъществяват контрол;  непредвидимост на проверките, поради липсата на регулярност при осъществяването им.</w:t>
            </w:r>
          </w:p>
          <w:p w14:paraId="690CB3C8" w14:textId="77777777" w:rsidR="00B515FF" w:rsidRDefault="00B515FF" w:rsidP="00B515FF"/>
        </w:tc>
        <w:tc>
          <w:tcPr>
            <w:tcW w:w="1701" w:type="dxa"/>
            <w:gridSpan w:val="2"/>
            <w:shd w:val="clear" w:color="auto" w:fill="FFFFFF" w:themeFill="background1"/>
          </w:tcPr>
          <w:p w14:paraId="2759E75C" w14:textId="7E9D7FCA" w:rsidR="00B515FF" w:rsidRDefault="00B515FF" w:rsidP="00B515FF">
            <w:r>
              <w:t>31.12.2018г.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14:paraId="3F0D76E2" w14:textId="4A9DDEFC" w:rsidR="00B515FF" w:rsidRDefault="00B515FF" w:rsidP="00B515FF">
            <w:r>
              <w:t>Брой дадени препоръки</w:t>
            </w:r>
          </w:p>
        </w:tc>
        <w:tc>
          <w:tcPr>
            <w:tcW w:w="994" w:type="dxa"/>
            <w:shd w:val="clear" w:color="auto" w:fill="FFFFFF" w:themeFill="background1"/>
          </w:tcPr>
          <w:p w14:paraId="02969A5E" w14:textId="1B099E02" w:rsidR="00B515FF" w:rsidRDefault="00B515FF" w:rsidP="00B515FF">
            <w:r>
              <w:t>Нисък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372CBD6" w14:textId="77777777" w:rsidR="00B515FF" w:rsidRDefault="00B515FF" w:rsidP="00B515FF">
            <w:r>
              <w:t xml:space="preserve">Директор на дирекция „Политики за е-управление“, </w:t>
            </w:r>
          </w:p>
          <w:p w14:paraId="56028DBC" w14:textId="77777777" w:rsidR="00B515FF" w:rsidRDefault="00B515FF" w:rsidP="00B515FF">
            <w:r>
              <w:t>Директор на дирекция</w:t>
            </w:r>
          </w:p>
          <w:p w14:paraId="2C223CF5" w14:textId="085FA048" w:rsidR="00B515FF" w:rsidRDefault="00B515FF" w:rsidP="00B515FF">
            <w:r>
              <w:t xml:space="preserve">„Информационни системи и оперативна съвместимост“, </w:t>
            </w:r>
          </w:p>
          <w:p w14:paraId="66ACA897" w14:textId="38895A72" w:rsidR="00B515FF" w:rsidRDefault="00B515FF" w:rsidP="00B515FF">
            <w:r>
              <w:t>Директор на дирекция „Мрежова и информационна сигурност“</w:t>
            </w:r>
          </w:p>
        </w:tc>
        <w:tc>
          <w:tcPr>
            <w:tcW w:w="1707" w:type="dxa"/>
            <w:shd w:val="clear" w:color="auto" w:fill="FFFFFF" w:themeFill="background1"/>
          </w:tcPr>
          <w:p w14:paraId="58C1D99B" w14:textId="77777777" w:rsidR="00B515FF" w:rsidRDefault="00B515FF" w:rsidP="00B515FF">
            <w:r>
              <w:t>Няма</w:t>
            </w:r>
          </w:p>
          <w:p w14:paraId="08CC9BA7" w14:textId="77777777" w:rsidR="00B515FF" w:rsidRDefault="00B515FF" w:rsidP="00B515FF"/>
        </w:tc>
      </w:tr>
      <w:tr w:rsidR="00B515FF" w14:paraId="1F1129DF" w14:textId="77777777" w:rsidTr="005B4D52">
        <w:trPr>
          <w:trHeight w:val="549"/>
        </w:trPr>
        <w:tc>
          <w:tcPr>
            <w:tcW w:w="15168" w:type="dxa"/>
            <w:gridSpan w:val="13"/>
            <w:shd w:val="clear" w:color="auto" w:fill="A8D08D" w:themeFill="accent6" w:themeFillTint="99"/>
          </w:tcPr>
          <w:p w14:paraId="550AEC1E" w14:textId="77777777" w:rsidR="00B515FF" w:rsidRDefault="00B515FF" w:rsidP="00B515FF">
            <w:r>
              <w:t>Мерки за публичност</w:t>
            </w:r>
          </w:p>
        </w:tc>
      </w:tr>
      <w:tr w:rsidR="00B515FF" w14:paraId="086ED7E0" w14:textId="77777777" w:rsidTr="00512417">
        <w:trPr>
          <w:trHeight w:val="557"/>
        </w:trPr>
        <w:tc>
          <w:tcPr>
            <w:tcW w:w="2691" w:type="dxa"/>
            <w:shd w:val="clear" w:color="auto" w:fill="E2EFD9" w:themeFill="accent6" w:themeFillTint="33"/>
          </w:tcPr>
          <w:p w14:paraId="708003DC" w14:textId="77777777" w:rsidR="00B515FF" w:rsidRDefault="00B515FF" w:rsidP="00B515FF">
            <w:r w:rsidRPr="00AC6CE7">
              <w:lastRenderedPageBreak/>
              <w:t>Описание на мярката</w:t>
            </w:r>
          </w:p>
          <w:p w14:paraId="7A21036F" w14:textId="77777777" w:rsidR="00B515FF" w:rsidRDefault="00B515FF" w:rsidP="00B515FF"/>
        </w:tc>
        <w:tc>
          <w:tcPr>
            <w:tcW w:w="3256" w:type="dxa"/>
            <w:gridSpan w:val="3"/>
            <w:shd w:val="clear" w:color="auto" w:fill="E2EFD9" w:themeFill="accent6" w:themeFillTint="33"/>
          </w:tcPr>
          <w:p w14:paraId="5F8DA48C" w14:textId="77777777" w:rsidR="00B515FF" w:rsidRDefault="00B515FF" w:rsidP="00B515FF">
            <w:r>
              <w:t>Срок за изпълнение и етапи</w:t>
            </w:r>
          </w:p>
        </w:tc>
        <w:tc>
          <w:tcPr>
            <w:tcW w:w="5530" w:type="dxa"/>
            <w:gridSpan w:val="6"/>
            <w:shd w:val="clear" w:color="auto" w:fill="E2EFD9" w:themeFill="accent6" w:themeFillTint="33"/>
          </w:tcPr>
          <w:p w14:paraId="57EE6600" w14:textId="77777777" w:rsidR="00B515FF" w:rsidRDefault="00B515FF" w:rsidP="00B515FF">
            <w:r w:rsidRPr="00AC6CE7">
              <w:t>Отговорно лице</w:t>
            </w:r>
          </w:p>
          <w:p w14:paraId="6FCBF15A" w14:textId="77777777" w:rsidR="00B515FF" w:rsidRDefault="00B515FF" w:rsidP="00B515FF"/>
        </w:tc>
        <w:tc>
          <w:tcPr>
            <w:tcW w:w="3691" w:type="dxa"/>
            <w:gridSpan w:val="3"/>
            <w:shd w:val="clear" w:color="auto" w:fill="E2EFD9" w:themeFill="accent6" w:themeFillTint="33"/>
          </w:tcPr>
          <w:p w14:paraId="7DF70459" w14:textId="77777777" w:rsidR="00B515FF" w:rsidRDefault="00B515FF" w:rsidP="00B515FF">
            <w:r>
              <w:t>Причини за неизпълнение</w:t>
            </w:r>
          </w:p>
        </w:tc>
      </w:tr>
      <w:tr w:rsidR="00B515FF" w14:paraId="58836E8D" w14:textId="77777777" w:rsidTr="00512417">
        <w:trPr>
          <w:trHeight w:val="566"/>
        </w:trPr>
        <w:tc>
          <w:tcPr>
            <w:tcW w:w="2691" w:type="dxa"/>
            <w:shd w:val="clear" w:color="auto" w:fill="FFFFFF" w:themeFill="background1"/>
          </w:tcPr>
          <w:p w14:paraId="2ABC48FC" w14:textId="7DE2C554" w:rsidR="00B515FF" w:rsidRDefault="00B515FF" w:rsidP="00B515FF">
            <w:pPr>
              <w:rPr>
                <w:szCs w:val="24"/>
              </w:rPr>
            </w:pPr>
            <w:r>
              <w:t>10. Публикуване на антикорупционния план на ДАЕУ</w:t>
            </w:r>
            <w:r>
              <w:rPr>
                <w:szCs w:val="24"/>
              </w:rPr>
              <w:t xml:space="preserve"> на официалната интернет страница на агенцията, раздел „</w:t>
            </w:r>
            <w:proofErr w:type="spellStart"/>
            <w:r>
              <w:rPr>
                <w:szCs w:val="24"/>
              </w:rPr>
              <w:t>Антикорупция</w:t>
            </w:r>
            <w:proofErr w:type="spellEnd"/>
            <w:r>
              <w:rPr>
                <w:szCs w:val="24"/>
              </w:rPr>
              <w:t>“;</w:t>
            </w:r>
          </w:p>
          <w:p w14:paraId="1F5C6480" w14:textId="77777777" w:rsidR="00B515FF" w:rsidRDefault="00B515FF" w:rsidP="00B515FF"/>
        </w:tc>
        <w:tc>
          <w:tcPr>
            <w:tcW w:w="3256" w:type="dxa"/>
            <w:gridSpan w:val="3"/>
            <w:shd w:val="clear" w:color="auto" w:fill="FFFFFF" w:themeFill="background1"/>
          </w:tcPr>
          <w:p w14:paraId="368837DA" w14:textId="557DF335" w:rsidR="00B515FF" w:rsidRDefault="00B515FF" w:rsidP="00B515FF">
            <w:r>
              <w:t>В 7-дневен срок след утвърждаването му от Председателя на ДАЕУ</w:t>
            </w:r>
          </w:p>
        </w:tc>
        <w:tc>
          <w:tcPr>
            <w:tcW w:w="5530" w:type="dxa"/>
            <w:gridSpan w:val="6"/>
            <w:shd w:val="clear" w:color="auto" w:fill="FFFFFF" w:themeFill="background1"/>
          </w:tcPr>
          <w:p w14:paraId="22D36643" w14:textId="77777777" w:rsidR="00B515FF" w:rsidRDefault="00B515FF" w:rsidP="00B515FF">
            <w:pPr>
              <w:jc w:val="both"/>
            </w:pPr>
            <w:r>
              <w:t>Ръководител Инспекторат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14:paraId="2306D76E" w14:textId="77777777" w:rsidR="00B515FF" w:rsidRDefault="00B515FF" w:rsidP="00B515FF">
            <w:r>
              <w:t>Няма</w:t>
            </w:r>
          </w:p>
        </w:tc>
      </w:tr>
      <w:tr w:rsidR="00B515FF" w14:paraId="2E004673" w14:textId="77777777" w:rsidTr="00512417">
        <w:trPr>
          <w:trHeight w:val="566"/>
        </w:trPr>
        <w:tc>
          <w:tcPr>
            <w:tcW w:w="2691" w:type="dxa"/>
            <w:shd w:val="clear" w:color="auto" w:fill="FFFFFF" w:themeFill="background1"/>
          </w:tcPr>
          <w:p w14:paraId="7F6F5C3B" w14:textId="7ABD2C0A" w:rsidR="00B515FF" w:rsidRDefault="00B515FF" w:rsidP="00B515FF">
            <w:r>
              <w:t>11</w:t>
            </w:r>
            <w:r w:rsidRPr="00752D06">
              <w:t>. Публикуване на 6-месечния и годишния отчет за изпълнението на антикорупционния план</w:t>
            </w:r>
            <w:r>
              <w:t>;</w:t>
            </w:r>
          </w:p>
        </w:tc>
        <w:tc>
          <w:tcPr>
            <w:tcW w:w="3256" w:type="dxa"/>
            <w:gridSpan w:val="3"/>
            <w:shd w:val="clear" w:color="auto" w:fill="FFFFFF" w:themeFill="background1"/>
          </w:tcPr>
          <w:p w14:paraId="6E323E04" w14:textId="7477ACF1" w:rsidR="00B515FF" w:rsidRDefault="00B515FF" w:rsidP="00B515FF">
            <w:r>
              <w:t>В 7-дневен срок след одобряването им от Председателя на ДАЕУ</w:t>
            </w:r>
          </w:p>
        </w:tc>
        <w:tc>
          <w:tcPr>
            <w:tcW w:w="5530" w:type="dxa"/>
            <w:gridSpan w:val="6"/>
            <w:shd w:val="clear" w:color="auto" w:fill="FFFFFF" w:themeFill="background1"/>
          </w:tcPr>
          <w:p w14:paraId="1881FF97" w14:textId="7C0591A0" w:rsidR="00B515FF" w:rsidRDefault="00B515FF" w:rsidP="00B515FF">
            <w:pPr>
              <w:jc w:val="both"/>
            </w:pPr>
            <w:r>
              <w:t>Ръководител Инспекторат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14:paraId="4E36F921" w14:textId="3F0EFAF6" w:rsidR="00B515FF" w:rsidRDefault="00B515FF" w:rsidP="00B515FF">
            <w:r>
              <w:t>Няма</w:t>
            </w:r>
          </w:p>
        </w:tc>
      </w:tr>
      <w:tr w:rsidR="00B515FF" w14:paraId="0A77D76C" w14:textId="77777777" w:rsidTr="00512417">
        <w:trPr>
          <w:trHeight w:val="975"/>
        </w:trPr>
        <w:tc>
          <w:tcPr>
            <w:tcW w:w="2691" w:type="dxa"/>
            <w:shd w:val="clear" w:color="auto" w:fill="FFFFFF" w:themeFill="background1"/>
          </w:tcPr>
          <w:p w14:paraId="500CB82D" w14:textId="712F1F6B" w:rsidR="00B515FF" w:rsidRDefault="00B515FF" w:rsidP="00B515FF">
            <w:pPr>
              <w:rPr>
                <w:szCs w:val="24"/>
              </w:rPr>
            </w:pPr>
            <w:r>
              <w:rPr>
                <w:szCs w:val="24"/>
              </w:rPr>
              <w:t xml:space="preserve">12. Публикуване на данни за броя на постъпилите в агенцията </w:t>
            </w:r>
            <w:r w:rsidRPr="00EE0E45">
              <w:rPr>
                <w:szCs w:val="24"/>
              </w:rPr>
              <w:t>сигнали</w:t>
            </w:r>
            <w:r>
              <w:rPr>
                <w:szCs w:val="24"/>
              </w:rPr>
              <w:t xml:space="preserve"> за корупция и </w:t>
            </w:r>
            <w:r w:rsidRPr="00EE0E45">
              <w:rPr>
                <w:szCs w:val="24"/>
              </w:rPr>
              <w:t>предприети действия</w:t>
            </w:r>
            <w:r>
              <w:rPr>
                <w:szCs w:val="24"/>
              </w:rPr>
              <w:t xml:space="preserve"> на официалната интернет страница на агенцията, раздел „</w:t>
            </w:r>
            <w:proofErr w:type="spellStart"/>
            <w:r>
              <w:rPr>
                <w:szCs w:val="24"/>
              </w:rPr>
              <w:t>Антикорупция</w:t>
            </w:r>
            <w:proofErr w:type="spellEnd"/>
            <w:r>
              <w:rPr>
                <w:szCs w:val="24"/>
              </w:rPr>
              <w:t>“.</w:t>
            </w:r>
          </w:p>
          <w:p w14:paraId="734D103A" w14:textId="77777777" w:rsidR="00B515FF" w:rsidRDefault="00B515FF" w:rsidP="00B515FF">
            <w:pPr>
              <w:rPr>
                <w:szCs w:val="24"/>
              </w:rPr>
            </w:pPr>
          </w:p>
          <w:p w14:paraId="4534FE06" w14:textId="77777777" w:rsidR="00B515FF" w:rsidRDefault="00B515FF" w:rsidP="00B515FF"/>
        </w:tc>
        <w:tc>
          <w:tcPr>
            <w:tcW w:w="3256" w:type="dxa"/>
            <w:gridSpan w:val="3"/>
            <w:shd w:val="clear" w:color="auto" w:fill="FFFFFF" w:themeFill="background1"/>
          </w:tcPr>
          <w:p w14:paraId="1D020E1D" w14:textId="377D8891" w:rsidR="00B515FF" w:rsidRDefault="00B515FF" w:rsidP="00B515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30.07.2018г. (за първото полугодие на 2018 година), </w:t>
            </w:r>
          </w:p>
          <w:p w14:paraId="449B94D7" w14:textId="77777777" w:rsidR="00B515FF" w:rsidRDefault="00B515FF" w:rsidP="00B515FF">
            <w:pPr>
              <w:jc w:val="both"/>
              <w:rPr>
                <w:szCs w:val="24"/>
              </w:rPr>
            </w:pPr>
          </w:p>
          <w:p w14:paraId="72E43185" w14:textId="1F310C04" w:rsidR="00B515FF" w:rsidRPr="00EE0E45" w:rsidRDefault="00B515FF" w:rsidP="00B515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30.01.2019г. (за второто полугодие и цялата 2018 година)</w:t>
            </w:r>
          </w:p>
          <w:p w14:paraId="374CA3FE" w14:textId="77777777" w:rsidR="00B515FF" w:rsidRDefault="00B515FF" w:rsidP="00B515FF"/>
        </w:tc>
        <w:tc>
          <w:tcPr>
            <w:tcW w:w="5530" w:type="dxa"/>
            <w:gridSpan w:val="6"/>
            <w:shd w:val="clear" w:color="auto" w:fill="FFFFFF" w:themeFill="background1"/>
          </w:tcPr>
          <w:p w14:paraId="123C17AD" w14:textId="77777777" w:rsidR="00B515FF" w:rsidRDefault="00B515FF" w:rsidP="00B515FF">
            <w:pPr>
              <w:jc w:val="both"/>
            </w:pPr>
            <w:r>
              <w:t>Държавен инспектор в Инспекторат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14:paraId="2664F781" w14:textId="77777777" w:rsidR="00B515FF" w:rsidRDefault="00B515FF" w:rsidP="00B515FF">
            <w:r>
              <w:t>Няма</w:t>
            </w:r>
          </w:p>
        </w:tc>
      </w:tr>
      <w:tr w:rsidR="00B515FF" w14:paraId="5BB401E1" w14:textId="77777777" w:rsidTr="005B4D52">
        <w:trPr>
          <w:trHeight w:val="572"/>
        </w:trPr>
        <w:tc>
          <w:tcPr>
            <w:tcW w:w="15168" w:type="dxa"/>
            <w:gridSpan w:val="13"/>
            <w:shd w:val="clear" w:color="auto" w:fill="A8D08D" w:themeFill="accent6" w:themeFillTint="99"/>
          </w:tcPr>
          <w:p w14:paraId="32900F9E" w14:textId="77777777" w:rsidR="00B515FF" w:rsidRDefault="00B515FF" w:rsidP="00B515FF">
            <w:r>
              <w:t>Обучения</w:t>
            </w:r>
          </w:p>
        </w:tc>
      </w:tr>
      <w:tr w:rsidR="00B515FF" w14:paraId="2A27F523" w14:textId="77777777" w:rsidTr="00512417">
        <w:trPr>
          <w:trHeight w:val="843"/>
        </w:trPr>
        <w:tc>
          <w:tcPr>
            <w:tcW w:w="2691" w:type="dxa"/>
            <w:shd w:val="clear" w:color="auto" w:fill="E2EFD9" w:themeFill="accent6" w:themeFillTint="33"/>
          </w:tcPr>
          <w:p w14:paraId="23B8FAA5" w14:textId="77777777" w:rsidR="00B515FF" w:rsidRDefault="00B515FF" w:rsidP="00B515FF">
            <w:r>
              <w:t xml:space="preserve">Брой на проведените обучения </w:t>
            </w:r>
          </w:p>
        </w:tc>
        <w:tc>
          <w:tcPr>
            <w:tcW w:w="5388" w:type="dxa"/>
            <w:gridSpan w:val="5"/>
            <w:shd w:val="clear" w:color="auto" w:fill="E2EFD9" w:themeFill="accent6" w:themeFillTint="33"/>
          </w:tcPr>
          <w:p w14:paraId="0A74409F" w14:textId="77777777" w:rsidR="00B515FF" w:rsidRDefault="00B515FF" w:rsidP="00B515FF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7089" w:type="dxa"/>
            <w:gridSpan w:val="7"/>
            <w:shd w:val="clear" w:color="auto" w:fill="E2EFD9" w:themeFill="accent6" w:themeFillTint="33"/>
          </w:tcPr>
          <w:p w14:paraId="28DFBB7A" w14:textId="77777777" w:rsidR="00B515FF" w:rsidRDefault="00B515FF" w:rsidP="00B515FF">
            <w:r>
              <w:t>Индикатор</w:t>
            </w:r>
          </w:p>
        </w:tc>
      </w:tr>
      <w:tr w:rsidR="00B515FF" w14:paraId="7FE19C13" w14:textId="77777777" w:rsidTr="00A0456A">
        <w:trPr>
          <w:trHeight w:val="992"/>
        </w:trPr>
        <w:tc>
          <w:tcPr>
            <w:tcW w:w="2691" w:type="dxa"/>
            <w:shd w:val="clear" w:color="auto" w:fill="FFFFFF" w:themeFill="background1"/>
          </w:tcPr>
          <w:p w14:paraId="6157EEDE" w14:textId="28A08A70" w:rsidR="00B515FF" w:rsidRDefault="00B515FF" w:rsidP="00B515FF">
            <w:r>
              <w:lastRenderedPageBreak/>
              <w:t xml:space="preserve">1 бр. за служителите, ангажирани с подготовката и провеждането на обществените поръчки в Агенцията - </w:t>
            </w:r>
          </w:p>
          <w:p w14:paraId="59F413EF" w14:textId="7ABA8F07" w:rsidR="00B515FF" w:rsidRPr="00C73F5F" w:rsidRDefault="00B515FF" w:rsidP="00B515FF">
            <w:pPr>
              <w:rPr>
                <w:i/>
              </w:rPr>
            </w:pPr>
            <w:r w:rsidRPr="00C73F5F">
              <w:rPr>
                <w:i/>
              </w:rPr>
              <w:t>Вътрешно обучение, съгласно утвърдените вътрешни правила за обучение и развитие на служителите в ДАЕУ</w:t>
            </w:r>
            <w:r>
              <w:rPr>
                <w:i/>
              </w:rPr>
              <w:t>.</w:t>
            </w:r>
          </w:p>
        </w:tc>
        <w:tc>
          <w:tcPr>
            <w:tcW w:w="5388" w:type="dxa"/>
            <w:gridSpan w:val="5"/>
            <w:shd w:val="clear" w:color="auto" w:fill="FFFFFF" w:themeFill="background1"/>
          </w:tcPr>
          <w:p w14:paraId="03AD97F6" w14:textId="02C70DEB" w:rsidR="00B515FF" w:rsidRDefault="00B515FF" w:rsidP="00B515FF">
            <w:pPr>
              <w:jc w:val="both"/>
            </w:pPr>
            <w:r>
              <w:t xml:space="preserve">Организиране на онлайн обучение по </w:t>
            </w:r>
            <w:r>
              <w:rPr>
                <w:lang w:val="en-GB"/>
              </w:rPr>
              <w:t xml:space="preserve">Lync </w:t>
            </w:r>
            <w:r>
              <w:t>на служителите, ангажирани с подготовката и провеждането на обществените поръчки на ръководни и експертни длъжности за  прилагането на ЗОП и ППЗОП ;</w:t>
            </w:r>
          </w:p>
          <w:p w14:paraId="35AB6D91" w14:textId="58146070" w:rsidR="00B515FF" w:rsidRDefault="00B515FF" w:rsidP="00B515FF">
            <w:pPr>
              <w:jc w:val="both"/>
            </w:pPr>
            <w:r>
              <w:t xml:space="preserve">Организиране на онлайн обучение по </w:t>
            </w:r>
            <w:r>
              <w:rPr>
                <w:lang w:val="en-GB"/>
              </w:rPr>
              <w:t>Lync</w:t>
            </w:r>
            <w:r>
              <w:t xml:space="preserve"> на служители на ръководни и експертни длъжности, ангажирани с подготовката и провеждането на обществените поръчки по прилагане на вътрешните правила за провеждане на обществени поръчки в Агенцията, в т.ч.</w:t>
            </w:r>
          </w:p>
          <w:p w14:paraId="0C972C2B" w14:textId="77777777" w:rsidR="00B515FF" w:rsidRDefault="00B515FF" w:rsidP="00B515FF">
            <w:pPr>
              <w:jc w:val="both"/>
            </w:pPr>
            <w:r>
              <w:t>- Вътрешните правила за управление на цикъла на обществените поръчки;</w:t>
            </w:r>
          </w:p>
          <w:p w14:paraId="1E8634F5" w14:textId="77777777" w:rsidR="00B515FF" w:rsidRDefault="00B515FF" w:rsidP="00B515FF">
            <w:pPr>
              <w:jc w:val="both"/>
            </w:pPr>
            <w:r>
              <w:t>- Вътрешните правила за сключване, изпълнение и контрол на договори в областта на отбраната и сигурността под стойностните прагове на Закона за обществените поръчки;</w:t>
            </w:r>
          </w:p>
          <w:p w14:paraId="1DAA4B7C" w14:textId="77777777" w:rsidR="00B515FF" w:rsidRDefault="00B515FF" w:rsidP="00B515FF">
            <w:pPr>
              <w:jc w:val="both"/>
            </w:pPr>
            <w:r>
              <w:t>- Вътрешните правила при сключване, изпълнение и контрол на договори извън приложното поле на Закона за обществените поръчки.</w:t>
            </w:r>
          </w:p>
          <w:p w14:paraId="291E9B88" w14:textId="77777777" w:rsidR="00B515FF" w:rsidRDefault="00B515FF" w:rsidP="00B515FF">
            <w:pPr>
              <w:jc w:val="both"/>
            </w:pPr>
          </w:p>
          <w:p w14:paraId="16416ED3" w14:textId="77777777" w:rsidR="00B515FF" w:rsidRDefault="00B515FF" w:rsidP="00B515FF">
            <w:pPr>
              <w:jc w:val="both"/>
            </w:pPr>
          </w:p>
          <w:p w14:paraId="674553E4" w14:textId="77777777" w:rsidR="00B515FF" w:rsidRDefault="00B515FF" w:rsidP="00B515FF">
            <w:pPr>
              <w:jc w:val="both"/>
            </w:pPr>
          </w:p>
        </w:tc>
        <w:tc>
          <w:tcPr>
            <w:tcW w:w="7089" w:type="dxa"/>
            <w:gridSpan w:val="7"/>
            <w:shd w:val="clear" w:color="auto" w:fill="FFFFFF" w:themeFill="background1"/>
          </w:tcPr>
          <w:p w14:paraId="69B0375B" w14:textId="3D8FF081" w:rsidR="00B515FF" w:rsidRPr="004552B4" w:rsidRDefault="00B515FF" w:rsidP="00B515FF">
            <w:pPr>
              <w:jc w:val="both"/>
            </w:pPr>
            <w:r w:rsidRPr="004552B4">
              <w:t>Подобряване работата на служителите, отговорни за различните етапи от подготовката и провеждането на обществените поръчки в Агенцията, отчетено от оценяващите ръководители при междинната среща и годишното оценяване.</w:t>
            </w:r>
          </w:p>
          <w:p w14:paraId="28487C9F" w14:textId="20761067" w:rsidR="00B515FF" w:rsidRPr="002F67B8" w:rsidRDefault="00B515FF" w:rsidP="00B515FF">
            <w:pPr>
              <w:jc w:val="both"/>
              <w:rPr>
                <w:highlight w:val="yellow"/>
              </w:rPr>
            </w:pPr>
          </w:p>
        </w:tc>
      </w:tr>
      <w:tr w:rsidR="00B515FF" w14:paraId="4B261A18" w14:textId="77777777" w:rsidTr="00512417">
        <w:trPr>
          <w:trHeight w:val="992"/>
        </w:trPr>
        <w:tc>
          <w:tcPr>
            <w:tcW w:w="2691" w:type="dxa"/>
            <w:shd w:val="clear" w:color="auto" w:fill="FFFFFF" w:themeFill="background1"/>
          </w:tcPr>
          <w:p w14:paraId="0D2D8D93" w14:textId="77777777" w:rsidR="00B515FF" w:rsidRDefault="00B515FF" w:rsidP="00B515FF">
            <w:pPr>
              <w:pStyle w:val="ListParagraph"/>
              <w:numPr>
                <w:ilvl w:val="0"/>
                <w:numId w:val="4"/>
              </w:numPr>
            </w:pPr>
            <w:r>
              <w:t>2 бр. проведени обучения от ИПА за 2017г.;</w:t>
            </w:r>
          </w:p>
          <w:p w14:paraId="2BE5FAC9" w14:textId="77777777" w:rsidR="00B515FF" w:rsidRDefault="00B515FF" w:rsidP="00B515FF">
            <w:pPr>
              <w:pStyle w:val="ListParagraph"/>
            </w:pPr>
          </w:p>
          <w:p w14:paraId="2D2534B8" w14:textId="77777777" w:rsidR="00B515FF" w:rsidRDefault="00B515FF" w:rsidP="00B515FF">
            <w:pPr>
              <w:pStyle w:val="ListParagraph"/>
            </w:pPr>
          </w:p>
          <w:p w14:paraId="2DE61523" w14:textId="77777777" w:rsidR="00B515FF" w:rsidRDefault="00B515FF" w:rsidP="00B515FF">
            <w:pPr>
              <w:pStyle w:val="ListParagraph"/>
              <w:numPr>
                <w:ilvl w:val="0"/>
                <w:numId w:val="4"/>
              </w:numPr>
            </w:pPr>
            <w:r>
              <w:t>3 теми, по  които</w:t>
            </w:r>
          </w:p>
          <w:p w14:paraId="279CFFDE" w14:textId="23CEDD5B" w:rsidR="00B515FF" w:rsidRDefault="00B515FF" w:rsidP="00FA343C">
            <w:pPr>
              <w:pStyle w:val="ListParagraph"/>
            </w:pPr>
            <w:r>
              <w:t xml:space="preserve">ще бъдат обучени </w:t>
            </w:r>
            <w:r>
              <w:lastRenderedPageBreak/>
              <w:t>служители на ДАЕУ за 2018г.</w:t>
            </w:r>
          </w:p>
        </w:tc>
        <w:tc>
          <w:tcPr>
            <w:tcW w:w="5388" w:type="dxa"/>
            <w:gridSpan w:val="5"/>
            <w:shd w:val="clear" w:color="auto" w:fill="FFFFFF" w:themeFill="background1"/>
          </w:tcPr>
          <w:p w14:paraId="4D10BBB8" w14:textId="77777777" w:rsidR="00B515FF" w:rsidRDefault="00B515FF" w:rsidP="00B515FF">
            <w:r>
              <w:lastRenderedPageBreak/>
              <w:t>Проведени обучения през 2017г.:</w:t>
            </w:r>
          </w:p>
          <w:p w14:paraId="15FE540B" w14:textId="400A4C47" w:rsidR="00B515FF" w:rsidRDefault="00B515FF" w:rsidP="00B515FF">
            <w:r>
              <w:t>„Етика и противодействие на корупционния риск“ – 2-ма обучени служители – ръководител Инспекторат и държавен инспектор;</w:t>
            </w:r>
          </w:p>
          <w:p w14:paraId="3699307E" w14:textId="77777777" w:rsidR="00B515FF" w:rsidRDefault="00B515FF" w:rsidP="00B515FF"/>
          <w:p w14:paraId="58EAE770" w14:textId="15995687" w:rsidR="00B515FF" w:rsidRDefault="00B515FF" w:rsidP="00B515FF">
            <w:r>
              <w:t>Предстоящи обучения през 2018г., провеждани от ИПА:</w:t>
            </w:r>
          </w:p>
          <w:p w14:paraId="46BD8B6E" w14:textId="77777777" w:rsidR="00B515FF" w:rsidRDefault="00B515FF" w:rsidP="00B515FF">
            <w:r>
              <w:t>„Етика и противодействие на корупционния риск“</w:t>
            </w:r>
          </w:p>
          <w:p w14:paraId="709AC955" w14:textId="77777777" w:rsidR="00B515FF" w:rsidRDefault="00B515FF" w:rsidP="00B515FF">
            <w:r>
              <w:lastRenderedPageBreak/>
              <w:t>„Превенция на корупцията в държавната администрация“</w:t>
            </w:r>
          </w:p>
          <w:p w14:paraId="7D2AC1EE" w14:textId="77777777" w:rsidR="00B515FF" w:rsidRDefault="00B515FF" w:rsidP="00B515FF">
            <w:r>
              <w:t>„Противодействие на корупцията в държавната администрация“</w:t>
            </w:r>
          </w:p>
          <w:p w14:paraId="6C5EB1A2" w14:textId="57B78418" w:rsidR="00B515FF" w:rsidRDefault="00B515FF" w:rsidP="00B515FF">
            <w:pPr>
              <w:jc w:val="both"/>
            </w:pPr>
            <w:r>
              <w:t>През 2018г., в обученията по всяка една от посочените теми, ще вземат участие 15 служители на ръководни и 24 – ма служители на експертни длъжности от всички дирекции на агенцията. Броят на обученията и участниците в тях ще бъдат включени в годишния план за обучение на служителите в Държавна агенция „Електронно управление“.</w:t>
            </w:r>
          </w:p>
        </w:tc>
        <w:tc>
          <w:tcPr>
            <w:tcW w:w="7089" w:type="dxa"/>
            <w:gridSpan w:val="7"/>
            <w:shd w:val="clear" w:color="auto" w:fill="FFFFFF" w:themeFill="background1"/>
          </w:tcPr>
          <w:p w14:paraId="07D17C88" w14:textId="77777777" w:rsidR="00B515FF" w:rsidRDefault="00B515FF" w:rsidP="00B515FF">
            <w:pPr>
              <w:jc w:val="both"/>
            </w:pPr>
            <w:r>
              <w:lastRenderedPageBreak/>
              <w:t>Повишаване на годишната оценка за изпълнение на длъжността на служителите преминали обучението.</w:t>
            </w:r>
          </w:p>
          <w:p w14:paraId="0AA31772" w14:textId="77777777" w:rsidR="00B515FF" w:rsidRDefault="00B515FF" w:rsidP="00B515FF">
            <w:pPr>
              <w:jc w:val="both"/>
            </w:pPr>
          </w:p>
          <w:p w14:paraId="30D2CD2F" w14:textId="77777777" w:rsidR="00B515FF" w:rsidRDefault="00B515FF" w:rsidP="00B515FF">
            <w:pPr>
              <w:jc w:val="both"/>
              <w:rPr>
                <w:highlight w:val="yellow"/>
              </w:rPr>
            </w:pPr>
          </w:p>
          <w:p w14:paraId="07644167" w14:textId="77777777" w:rsidR="00B515FF" w:rsidRDefault="00B515FF" w:rsidP="00B515FF">
            <w:pPr>
              <w:jc w:val="both"/>
            </w:pPr>
          </w:p>
          <w:p w14:paraId="2DC72012" w14:textId="6EE2E59D" w:rsidR="00B515FF" w:rsidRDefault="00B515FF" w:rsidP="00B515FF">
            <w:pPr>
              <w:jc w:val="both"/>
            </w:pPr>
            <w:r>
              <w:t xml:space="preserve">Придобиване на сертификати за успешно преминалите обучения служители/ Брой служители придобили сертификати спрямо общия брой на служителите преминали обучение. </w:t>
            </w:r>
          </w:p>
        </w:tc>
      </w:tr>
      <w:tr w:rsidR="00B515FF" w14:paraId="6BD314B6" w14:textId="77777777" w:rsidTr="005B4D52">
        <w:trPr>
          <w:trHeight w:val="850"/>
        </w:trPr>
        <w:tc>
          <w:tcPr>
            <w:tcW w:w="15168" w:type="dxa"/>
            <w:gridSpan w:val="13"/>
            <w:shd w:val="clear" w:color="auto" w:fill="A8D08D" w:themeFill="accent6" w:themeFillTint="99"/>
          </w:tcPr>
          <w:p w14:paraId="0FC3F678" w14:textId="77777777" w:rsidR="00B515FF" w:rsidRDefault="00B515FF" w:rsidP="00B515FF">
            <w:r>
              <w:lastRenderedPageBreak/>
              <w:t>Посочване на възможни начини за подаване на сигнали</w:t>
            </w:r>
          </w:p>
        </w:tc>
      </w:tr>
      <w:tr w:rsidR="00B515FF" w14:paraId="5AAC7EC2" w14:textId="77777777" w:rsidTr="00512417">
        <w:trPr>
          <w:trHeight w:val="992"/>
        </w:trPr>
        <w:tc>
          <w:tcPr>
            <w:tcW w:w="2691" w:type="dxa"/>
            <w:shd w:val="clear" w:color="auto" w:fill="E2EFD9" w:themeFill="accent6" w:themeFillTint="33"/>
          </w:tcPr>
          <w:p w14:paraId="1BCE7006" w14:textId="77777777" w:rsidR="00B515FF" w:rsidRDefault="00B515FF" w:rsidP="00B515FF">
            <w:r>
              <w:t>Адрес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</w:tcPr>
          <w:p w14:paraId="59AC4ADA" w14:textId="77777777" w:rsidR="00B515FF" w:rsidRPr="006922DF" w:rsidRDefault="00B515FF" w:rsidP="00B515FF">
            <w:r>
              <w:rPr>
                <w:lang w:val="en-US"/>
              </w:rPr>
              <w:t>E</w:t>
            </w:r>
            <w:r w:rsidRPr="00D15327">
              <w:t>-</w:t>
            </w:r>
            <w:r>
              <w:rPr>
                <w:lang w:val="en-US"/>
              </w:rPr>
              <w:t>mail</w:t>
            </w:r>
            <w:r w:rsidRPr="00D15327">
              <w:t xml:space="preserve"> </w:t>
            </w:r>
            <w:r>
              <w:t>адрес</w:t>
            </w:r>
          </w:p>
        </w:tc>
        <w:tc>
          <w:tcPr>
            <w:tcW w:w="3262" w:type="dxa"/>
            <w:gridSpan w:val="3"/>
            <w:shd w:val="clear" w:color="auto" w:fill="E2EFD9" w:themeFill="accent6" w:themeFillTint="33"/>
          </w:tcPr>
          <w:p w14:paraId="41C081A2" w14:textId="77777777" w:rsidR="00B515FF" w:rsidRDefault="00B515FF" w:rsidP="00B515FF">
            <w:r>
              <w:t>Телефонен номер</w:t>
            </w:r>
          </w:p>
        </w:tc>
        <w:tc>
          <w:tcPr>
            <w:tcW w:w="5247" w:type="dxa"/>
            <w:gridSpan w:val="5"/>
            <w:shd w:val="clear" w:color="auto" w:fill="E2EFD9" w:themeFill="accent6" w:themeFillTint="33"/>
          </w:tcPr>
          <w:p w14:paraId="113A0809" w14:textId="77777777" w:rsidR="00B515FF" w:rsidRDefault="00B515FF" w:rsidP="00B515FF">
            <w: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14:paraId="7A52EF1F" w14:textId="77777777" w:rsidR="00B515FF" w:rsidRDefault="00B515FF" w:rsidP="00B515FF">
            <w:r>
              <w:t>Други</w:t>
            </w:r>
          </w:p>
        </w:tc>
      </w:tr>
      <w:tr w:rsidR="00B515FF" w14:paraId="0E110335" w14:textId="77777777" w:rsidTr="00512417">
        <w:trPr>
          <w:trHeight w:val="1533"/>
        </w:trPr>
        <w:tc>
          <w:tcPr>
            <w:tcW w:w="2691" w:type="dxa"/>
            <w:shd w:val="clear" w:color="auto" w:fill="FFFFFF" w:themeFill="background1"/>
          </w:tcPr>
          <w:p w14:paraId="2687B41E" w14:textId="77777777" w:rsidR="00B515FF" w:rsidRDefault="00B515FF" w:rsidP="00B515FF">
            <w:r>
              <w:t xml:space="preserve">Гр. София 1000, ул. „Ген. Й. В. Гурко“ </w:t>
            </w:r>
          </w:p>
          <w:p w14:paraId="3F159BFF" w14:textId="77777777" w:rsidR="00B515FF" w:rsidRDefault="00B515FF" w:rsidP="00B515FF">
            <w:r>
              <w:rPr>
                <w:rFonts w:cs="Times New Roman"/>
              </w:rPr>
              <w:t>№</w:t>
            </w:r>
            <w:r>
              <w:t xml:space="preserve"> 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36B6F14" w14:textId="7C220AA5" w:rsidR="00B515FF" w:rsidRPr="00464C14" w:rsidRDefault="00B515FF" w:rsidP="00B515FF">
            <w:pPr>
              <w:rPr>
                <w:rStyle w:val="Hyperlink"/>
                <w:sz w:val="20"/>
                <w:szCs w:val="20"/>
              </w:rPr>
            </w:pPr>
            <w:r w:rsidRPr="00464C14">
              <w:rPr>
                <w:rStyle w:val="Hyperlink"/>
                <w:sz w:val="20"/>
                <w:szCs w:val="20"/>
                <w:lang w:val="en-GB"/>
              </w:rPr>
              <w:t>inspectorate</w:t>
            </w:r>
            <w:hyperlink r:id="rId8" w:history="1">
              <w:r w:rsidRPr="00464C14">
                <w:rPr>
                  <w:rStyle w:val="Hyperlink"/>
                  <w:sz w:val="20"/>
                  <w:szCs w:val="20"/>
                </w:rPr>
                <w:t>@e-gov.bg</w:t>
              </w:r>
            </w:hyperlink>
          </w:p>
          <w:p w14:paraId="3B0E48D9" w14:textId="71615C8A" w:rsidR="00B515FF" w:rsidRPr="00495AE2" w:rsidRDefault="00B515FF" w:rsidP="00B515FF">
            <w:pPr>
              <w:rPr>
                <w:highlight w:val="yellow"/>
              </w:rPr>
            </w:pPr>
          </w:p>
        </w:tc>
        <w:tc>
          <w:tcPr>
            <w:tcW w:w="3262" w:type="dxa"/>
            <w:gridSpan w:val="3"/>
            <w:shd w:val="clear" w:color="auto" w:fill="FFFFFF" w:themeFill="background1"/>
          </w:tcPr>
          <w:p w14:paraId="2EB61C70" w14:textId="77777777" w:rsidR="00B515FF" w:rsidRPr="007E69B7" w:rsidRDefault="00B515FF" w:rsidP="00B515FF">
            <w:r w:rsidRPr="007E69B7">
              <w:t>02/ 949 2165,</w:t>
            </w:r>
          </w:p>
          <w:p w14:paraId="2E0D840D" w14:textId="58327A8D" w:rsidR="00B515FF" w:rsidRPr="006E6BB2" w:rsidRDefault="00B515FF" w:rsidP="00B515FF">
            <w:pPr>
              <w:rPr>
                <w:lang w:val="en-GB"/>
              </w:rPr>
            </w:pPr>
            <w:r w:rsidRPr="007E69B7">
              <w:t>02/ 949 2364</w:t>
            </w:r>
          </w:p>
        </w:tc>
        <w:tc>
          <w:tcPr>
            <w:tcW w:w="5247" w:type="dxa"/>
            <w:gridSpan w:val="5"/>
            <w:shd w:val="clear" w:color="auto" w:fill="FFFFFF" w:themeFill="background1"/>
          </w:tcPr>
          <w:p w14:paraId="578FAAAE" w14:textId="77777777" w:rsidR="00B515FF" w:rsidRPr="0033367C" w:rsidRDefault="00B515FF" w:rsidP="00B515FF">
            <w:pPr>
              <w:rPr>
                <w:rFonts w:cs="Times New Roman"/>
                <w:szCs w:val="24"/>
              </w:rPr>
            </w:pPr>
            <w:r w:rsidRPr="0033367C">
              <w:rPr>
                <w:rFonts w:cs="Times New Roman"/>
                <w:szCs w:val="24"/>
                <w:shd w:val="clear" w:color="auto" w:fill="FFFFFF"/>
              </w:rPr>
              <w:t>Пощенската кутия в административната сграда на агенцията на ул. „Ген. Йосиф В. Гурко" 6, партер във фоайето до деловодството на ДАЕУ;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1D25CD56" w14:textId="77777777" w:rsidR="00B515FF" w:rsidRDefault="00B515FF" w:rsidP="00B515FF">
            <w:r>
              <w:t xml:space="preserve">- В </w:t>
            </w:r>
            <w:r w:rsidRPr="007B544D">
              <w:t xml:space="preserve">Инспектората на агенцията; </w:t>
            </w:r>
          </w:p>
          <w:p w14:paraId="3D93CBBF" w14:textId="25204F21" w:rsidR="00B515FF" w:rsidRPr="007B544D" w:rsidRDefault="00B515FF" w:rsidP="00B515FF">
            <w:r>
              <w:t xml:space="preserve">- </w:t>
            </w:r>
            <w:r>
              <w:rPr>
                <w:rFonts w:cs="Times New Roman"/>
                <w:szCs w:val="24"/>
                <w:shd w:val="clear" w:color="auto" w:fill="FFFFFF"/>
              </w:rPr>
              <w:t>Ч</w:t>
            </w:r>
            <w:r w:rsidRPr="002F58A0">
              <w:rPr>
                <w:rFonts w:cs="Times New Roman"/>
                <w:szCs w:val="24"/>
                <w:shd w:val="clear" w:color="auto" w:fill="FFFFFF"/>
              </w:rPr>
              <w:t>рез пощенска услуга на хартиен носител на адреса на агенцията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7B544D">
              <w:rPr>
                <w:rFonts w:cs="Times New Roman"/>
                <w:szCs w:val="24"/>
                <w:shd w:val="clear" w:color="auto" w:fill="FFFFFF"/>
              </w:rPr>
              <w:t>– до ръко</w:t>
            </w:r>
            <w:r>
              <w:rPr>
                <w:rFonts w:cs="Times New Roman"/>
                <w:szCs w:val="24"/>
                <w:shd w:val="clear" w:color="auto" w:fill="FFFFFF"/>
              </w:rPr>
              <w:t>водителя на Инспектората.</w:t>
            </w:r>
          </w:p>
          <w:p w14:paraId="69FC45DC" w14:textId="610B96CE" w:rsidR="00B515FF" w:rsidRDefault="00B515FF" w:rsidP="00B515FF">
            <w:r>
              <w:lastRenderedPageBreak/>
              <w:t xml:space="preserve">- </w:t>
            </w:r>
            <w:r w:rsidRPr="007B544D">
              <w:t>Предвидено е подадените сигнали да се завеждат в специален регистър на сигналите за корупция и конфликт на интереси.</w:t>
            </w:r>
          </w:p>
        </w:tc>
      </w:tr>
      <w:tr w:rsidR="00B515FF" w14:paraId="5C16A9A3" w14:textId="77777777" w:rsidTr="005B4D52">
        <w:trPr>
          <w:trHeight w:val="408"/>
        </w:trPr>
        <w:tc>
          <w:tcPr>
            <w:tcW w:w="15168" w:type="dxa"/>
            <w:gridSpan w:val="13"/>
            <w:shd w:val="clear" w:color="auto" w:fill="A8D08D" w:themeFill="accent6" w:themeFillTint="99"/>
          </w:tcPr>
          <w:p w14:paraId="3DB4CC84" w14:textId="1B6DBAF9" w:rsidR="00B515FF" w:rsidRDefault="00B515FF" w:rsidP="00B515FF">
            <w:r>
              <w:lastRenderedPageBreak/>
              <w:t>Мерки за защита на лицата, подали сигнали</w:t>
            </w:r>
          </w:p>
        </w:tc>
      </w:tr>
      <w:tr w:rsidR="00B515FF" w14:paraId="251FA02C" w14:textId="77777777" w:rsidTr="00512417">
        <w:trPr>
          <w:trHeight w:val="1275"/>
        </w:trPr>
        <w:tc>
          <w:tcPr>
            <w:tcW w:w="3592" w:type="dxa"/>
            <w:gridSpan w:val="2"/>
            <w:shd w:val="clear" w:color="auto" w:fill="E2EFD9" w:themeFill="accent6" w:themeFillTint="33"/>
          </w:tcPr>
          <w:p w14:paraId="6C76A934" w14:textId="77777777" w:rsidR="00B515FF" w:rsidRDefault="00B515FF" w:rsidP="00B515FF">
            <w:r>
              <w:t xml:space="preserve">Същност на мерките </w:t>
            </w:r>
          </w:p>
        </w:tc>
        <w:tc>
          <w:tcPr>
            <w:tcW w:w="11576" w:type="dxa"/>
            <w:gridSpan w:val="11"/>
            <w:shd w:val="clear" w:color="auto" w:fill="FFFFFF" w:themeFill="background1"/>
          </w:tcPr>
          <w:p w14:paraId="1F462BAD" w14:textId="77777777" w:rsidR="00B515FF" w:rsidRDefault="00B515FF" w:rsidP="00B515FF">
            <w:r>
              <w:t>В ДАЕУ са утвърдени Вътрешни правила за защита на лицата, подали сигнали за корупция.</w:t>
            </w:r>
          </w:p>
          <w:p w14:paraId="62064205" w14:textId="21D127F7" w:rsidR="00B515FF" w:rsidRDefault="00B515FF" w:rsidP="00B515FF">
            <w:r>
              <w:t>Разработен е механизъм за обработване на постъпилите сигнали за корупция. Предвид обстоятелството, че агенцията е създадена с приемането на Закона за изменение и допълнение на Закона за електронното управление (</w:t>
            </w:r>
            <w:proofErr w:type="spellStart"/>
            <w:r>
              <w:t>Обн</w:t>
            </w:r>
            <w:proofErr w:type="spellEnd"/>
            <w:r>
              <w:t>. ДВ, бр. 50 от 2016г.) предстои период на натрупване на практика, която да се анализира. Анализът на въздействието на изпълнените мерки върху дейността на ДАЕУ и ефектът от тяхното реализиране ще послужи за последващо усъвършенстване на ведомствените правила и ефективната защита на лицата, подали сигнали.</w:t>
            </w:r>
          </w:p>
        </w:tc>
      </w:tr>
    </w:tbl>
    <w:p w14:paraId="4950701B" w14:textId="77777777" w:rsidR="00F1658D" w:rsidRDefault="00F1658D"/>
    <w:sectPr w:rsidR="00F1658D" w:rsidSect="00F45B4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2A36A" w14:textId="77777777" w:rsidR="0085519D" w:rsidRDefault="0085519D" w:rsidP="00822C59">
      <w:pPr>
        <w:spacing w:line="240" w:lineRule="auto"/>
      </w:pPr>
      <w:r>
        <w:separator/>
      </w:r>
    </w:p>
  </w:endnote>
  <w:endnote w:type="continuationSeparator" w:id="0">
    <w:p w14:paraId="4B61B587" w14:textId="77777777" w:rsidR="0085519D" w:rsidRDefault="0085519D" w:rsidP="00822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625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485E11" w14:textId="77777777" w:rsidR="00822C59" w:rsidRDefault="00822C59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453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453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C4DB8F8" w14:textId="77777777" w:rsidR="00822C59" w:rsidRDefault="00822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2979B" w14:textId="77777777" w:rsidR="0085519D" w:rsidRDefault="0085519D" w:rsidP="00822C59">
      <w:pPr>
        <w:spacing w:line="240" w:lineRule="auto"/>
      </w:pPr>
      <w:r>
        <w:separator/>
      </w:r>
    </w:p>
  </w:footnote>
  <w:footnote w:type="continuationSeparator" w:id="0">
    <w:p w14:paraId="33C661CD" w14:textId="77777777" w:rsidR="0085519D" w:rsidRDefault="0085519D" w:rsidP="00822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DC6"/>
    <w:multiLevelType w:val="hybridMultilevel"/>
    <w:tmpl w:val="6046F732"/>
    <w:lvl w:ilvl="0" w:tplc="1BE4698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4206"/>
    <w:multiLevelType w:val="hybridMultilevel"/>
    <w:tmpl w:val="F036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11275"/>
    <w:multiLevelType w:val="hybridMultilevel"/>
    <w:tmpl w:val="8C8E8CD4"/>
    <w:lvl w:ilvl="0" w:tplc="303E2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66BDD"/>
    <w:multiLevelType w:val="hybridMultilevel"/>
    <w:tmpl w:val="C284E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21074"/>
    <w:multiLevelType w:val="hybridMultilevel"/>
    <w:tmpl w:val="F4226566"/>
    <w:lvl w:ilvl="0" w:tplc="EC2CD3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60907"/>
    <w:multiLevelType w:val="hybridMultilevel"/>
    <w:tmpl w:val="F0603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21D1C"/>
    <w:multiLevelType w:val="hybridMultilevel"/>
    <w:tmpl w:val="315885AE"/>
    <w:lvl w:ilvl="0" w:tplc="7BCA76D4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D3AEF"/>
    <w:multiLevelType w:val="hybridMultilevel"/>
    <w:tmpl w:val="D8BE85C4"/>
    <w:lvl w:ilvl="0" w:tplc="DC925E0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501FD"/>
    <w:multiLevelType w:val="hybridMultilevel"/>
    <w:tmpl w:val="0A60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1114C"/>
    <w:multiLevelType w:val="hybridMultilevel"/>
    <w:tmpl w:val="06449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05B8"/>
    <w:rsid w:val="00000CB0"/>
    <w:rsid w:val="000011A8"/>
    <w:rsid w:val="000052B9"/>
    <w:rsid w:val="00010981"/>
    <w:rsid w:val="0001169F"/>
    <w:rsid w:val="00012568"/>
    <w:rsid w:val="000139DF"/>
    <w:rsid w:val="0001438F"/>
    <w:rsid w:val="00015AB2"/>
    <w:rsid w:val="000224A4"/>
    <w:rsid w:val="0003039C"/>
    <w:rsid w:val="000315DC"/>
    <w:rsid w:val="00035E0A"/>
    <w:rsid w:val="00035ED0"/>
    <w:rsid w:val="00036571"/>
    <w:rsid w:val="00036C74"/>
    <w:rsid w:val="000375EE"/>
    <w:rsid w:val="00044474"/>
    <w:rsid w:val="00044A21"/>
    <w:rsid w:val="00044F91"/>
    <w:rsid w:val="00045B5C"/>
    <w:rsid w:val="0005176A"/>
    <w:rsid w:val="00053F1F"/>
    <w:rsid w:val="00055C65"/>
    <w:rsid w:val="000567BE"/>
    <w:rsid w:val="00057390"/>
    <w:rsid w:val="000666A9"/>
    <w:rsid w:val="0007722E"/>
    <w:rsid w:val="000774C2"/>
    <w:rsid w:val="00080459"/>
    <w:rsid w:val="0008125A"/>
    <w:rsid w:val="0008646C"/>
    <w:rsid w:val="0008701A"/>
    <w:rsid w:val="00087E95"/>
    <w:rsid w:val="00090CE2"/>
    <w:rsid w:val="0009127A"/>
    <w:rsid w:val="00091E1A"/>
    <w:rsid w:val="0009558A"/>
    <w:rsid w:val="000A2871"/>
    <w:rsid w:val="000A4CA8"/>
    <w:rsid w:val="000A6319"/>
    <w:rsid w:val="000A662C"/>
    <w:rsid w:val="000A7717"/>
    <w:rsid w:val="000B21D7"/>
    <w:rsid w:val="000B2E3F"/>
    <w:rsid w:val="000B3E8A"/>
    <w:rsid w:val="000B6FD1"/>
    <w:rsid w:val="000B7CA1"/>
    <w:rsid w:val="000C0E2F"/>
    <w:rsid w:val="000C52C9"/>
    <w:rsid w:val="000C5943"/>
    <w:rsid w:val="000C61A8"/>
    <w:rsid w:val="000C6A14"/>
    <w:rsid w:val="000C78A6"/>
    <w:rsid w:val="000D2C3E"/>
    <w:rsid w:val="000D7344"/>
    <w:rsid w:val="000D7813"/>
    <w:rsid w:val="000E0B14"/>
    <w:rsid w:val="000E2D68"/>
    <w:rsid w:val="000E2F04"/>
    <w:rsid w:val="000E6053"/>
    <w:rsid w:val="000F0D02"/>
    <w:rsid w:val="000F237B"/>
    <w:rsid w:val="000F4999"/>
    <w:rsid w:val="000F5E6A"/>
    <w:rsid w:val="000F6131"/>
    <w:rsid w:val="000F62EF"/>
    <w:rsid w:val="000F6F35"/>
    <w:rsid w:val="000F6FA3"/>
    <w:rsid w:val="00101171"/>
    <w:rsid w:val="00101FED"/>
    <w:rsid w:val="00106FE6"/>
    <w:rsid w:val="00107465"/>
    <w:rsid w:val="00107B01"/>
    <w:rsid w:val="00121121"/>
    <w:rsid w:val="0012343C"/>
    <w:rsid w:val="001234C7"/>
    <w:rsid w:val="001238E8"/>
    <w:rsid w:val="00123EF8"/>
    <w:rsid w:val="00127246"/>
    <w:rsid w:val="0013089B"/>
    <w:rsid w:val="00131D3B"/>
    <w:rsid w:val="00132C33"/>
    <w:rsid w:val="00134F4C"/>
    <w:rsid w:val="00136EBF"/>
    <w:rsid w:val="0014745C"/>
    <w:rsid w:val="00153352"/>
    <w:rsid w:val="00153C89"/>
    <w:rsid w:val="00156416"/>
    <w:rsid w:val="0015776F"/>
    <w:rsid w:val="00157E6C"/>
    <w:rsid w:val="00160319"/>
    <w:rsid w:val="00163D2E"/>
    <w:rsid w:val="001647F4"/>
    <w:rsid w:val="00165226"/>
    <w:rsid w:val="00166286"/>
    <w:rsid w:val="001667CA"/>
    <w:rsid w:val="00166E44"/>
    <w:rsid w:val="0017195D"/>
    <w:rsid w:val="00174E01"/>
    <w:rsid w:val="00175D3F"/>
    <w:rsid w:val="00177C5B"/>
    <w:rsid w:val="00180889"/>
    <w:rsid w:val="0018161E"/>
    <w:rsid w:val="00183452"/>
    <w:rsid w:val="001869A6"/>
    <w:rsid w:val="00186C85"/>
    <w:rsid w:val="00187BD3"/>
    <w:rsid w:val="00191204"/>
    <w:rsid w:val="00191B46"/>
    <w:rsid w:val="00194069"/>
    <w:rsid w:val="001A04BD"/>
    <w:rsid w:val="001A093B"/>
    <w:rsid w:val="001A4AE4"/>
    <w:rsid w:val="001A5385"/>
    <w:rsid w:val="001A56B6"/>
    <w:rsid w:val="001A5F1D"/>
    <w:rsid w:val="001A60DB"/>
    <w:rsid w:val="001A68E5"/>
    <w:rsid w:val="001B19BB"/>
    <w:rsid w:val="001D63F6"/>
    <w:rsid w:val="001D705E"/>
    <w:rsid w:val="001D78DD"/>
    <w:rsid w:val="001E042E"/>
    <w:rsid w:val="001E176B"/>
    <w:rsid w:val="001E5B7E"/>
    <w:rsid w:val="001E6F79"/>
    <w:rsid w:val="001F1304"/>
    <w:rsid w:val="001F4DF3"/>
    <w:rsid w:val="001F5DD0"/>
    <w:rsid w:val="002073A1"/>
    <w:rsid w:val="00207BEB"/>
    <w:rsid w:val="002137DF"/>
    <w:rsid w:val="002161A3"/>
    <w:rsid w:val="00220A54"/>
    <w:rsid w:val="00225242"/>
    <w:rsid w:val="00231484"/>
    <w:rsid w:val="00231BD9"/>
    <w:rsid w:val="002346E3"/>
    <w:rsid w:val="00236168"/>
    <w:rsid w:val="00243712"/>
    <w:rsid w:val="0024373B"/>
    <w:rsid w:val="00245387"/>
    <w:rsid w:val="00246A75"/>
    <w:rsid w:val="00251DAA"/>
    <w:rsid w:val="00252CEA"/>
    <w:rsid w:val="00253318"/>
    <w:rsid w:val="00253748"/>
    <w:rsid w:val="002548A3"/>
    <w:rsid w:val="00256D66"/>
    <w:rsid w:val="002572B5"/>
    <w:rsid w:val="00257897"/>
    <w:rsid w:val="00260A69"/>
    <w:rsid w:val="0026301D"/>
    <w:rsid w:val="002645F2"/>
    <w:rsid w:val="00267446"/>
    <w:rsid w:val="00276099"/>
    <w:rsid w:val="002761D8"/>
    <w:rsid w:val="002768FD"/>
    <w:rsid w:val="00276BC4"/>
    <w:rsid w:val="00277019"/>
    <w:rsid w:val="00277475"/>
    <w:rsid w:val="00282004"/>
    <w:rsid w:val="00283A5D"/>
    <w:rsid w:val="00284E5C"/>
    <w:rsid w:val="002A0C02"/>
    <w:rsid w:val="002A0DF0"/>
    <w:rsid w:val="002A44E1"/>
    <w:rsid w:val="002A7679"/>
    <w:rsid w:val="002B294F"/>
    <w:rsid w:val="002B48BC"/>
    <w:rsid w:val="002B5FEF"/>
    <w:rsid w:val="002B63D2"/>
    <w:rsid w:val="002B68F6"/>
    <w:rsid w:val="002B7863"/>
    <w:rsid w:val="002B7AA5"/>
    <w:rsid w:val="002C0B63"/>
    <w:rsid w:val="002C4F93"/>
    <w:rsid w:val="002D0AA7"/>
    <w:rsid w:val="002D3193"/>
    <w:rsid w:val="002D77CD"/>
    <w:rsid w:val="002E1E76"/>
    <w:rsid w:val="002F14CC"/>
    <w:rsid w:val="002F2437"/>
    <w:rsid w:val="002F2B69"/>
    <w:rsid w:val="002F64B2"/>
    <w:rsid w:val="002F67B8"/>
    <w:rsid w:val="00304F45"/>
    <w:rsid w:val="0031276A"/>
    <w:rsid w:val="0031482A"/>
    <w:rsid w:val="003165D6"/>
    <w:rsid w:val="00320258"/>
    <w:rsid w:val="0032320A"/>
    <w:rsid w:val="003270E9"/>
    <w:rsid w:val="003304A5"/>
    <w:rsid w:val="0033276A"/>
    <w:rsid w:val="0033367C"/>
    <w:rsid w:val="00334D96"/>
    <w:rsid w:val="00337152"/>
    <w:rsid w:val="00342DA1"/>
    <w:rsid w:val="00343367"/>
    <w:rsid w:val="00343738"/>
    <w:rsid w:val="00344654"/>
    <w:rsid w:val="003447B3"/>
    <w:rsid w:val="00351207"/>
    <w:rsid w:val="003524E9"/>
    <w:rsid w:val="00352B44"/>
    <w:rsid w:val="003548C4"/>
    <w:rsid w:val="00354B06"/>
    <w:rsid w:val="00354E40"/>
    <w:rsid w:val="00355F34"/>
    <w:rsid w:val="00356F67"/>
    <w:rsid w:val="003571F2"/>
    <w:rsid w:val="00357C44"/>
    <w:rsid w:val="00360B7B"/>
    <w:rsid w:val="00374F85"/>
    <w:rsid w:val="0037728A"/>
    <w:rsid w:val="00381572"/>
    <w:rsid w:val="00382CAE"/>
    <w:rsid w:val="00384B8A"/>
    <w:rsid w:val="00385A32"/>
    <w:rsid w:val="00386C44"/>
    <w:rsid w:val="00387909"/>
    <w:rsid w:val="00392B30"/>
    <w:rsid w:val="003949A8"/>
    <w:rsid w:val="00394A73"/>
    <w:rsid w:val="003A16C8"/>
    <w:rsid w:val="003A434D"/>
    <w:rsid w:val="003B3EF7"/>
    <w:rsid w:val="003B45CD"/>
    <w:rsid w:val="003B520D"/>
    <w:rsid w:val="003B5796"/>
    <w:rsid w:val="003C1F50"/>
    <w:rsid w:val="003C29BE"/>
    <w:rsid w:val="003C39E2"/>
    <w:rsid w:val="003D28B2"/>
    <w:rsid w:val="003D3944"/>
    <w:rsid w:val="003E256D"/>
    <w:rsid w:val="003E380C"/>
    <w:rsid w:val="003E4465"/>
    <w:rsid w:val="003E7DF4"/>
    <w:rsid w:val="003F2C3D"/>
    <w:rsid w:val="003F3E13"/>
    <w:rsid w:val="003F6AB1"/>
    <w:rsid w:val="003F76D2"/>
    <w:rsid w:val="00405CA0"/>
    <w:rsid w:val="00406F0B"/>
    <w:rsid w:val="0041404F"/>
    <w:rsid w:val="00421329"/>
    <w:rsid w:val="00421A15"/>
    <w:rsid w:val="00422966"/>
    <w:rsid w:val="00422DFF"/>
    <w:rsid w:val="00425C41"/>
    <w:rsid w:val="004263AC"/>
    <w:rsid w:val="004314F8"/>
    <w:rsid w:val="0043220E"/>
    <w:rsid w:val="00440A3F"/>
    <w:rsid w:val="0044672D"/>
    <w:rsid w:val="00447175"/>
    <w:rsid w:val="00450CE3"/>
    <w:rsid w:val="004552B4"/>
    <w:rsid w:val="004573E4"/>
    <w:rsid w:val="00460CC2"/>
    <w:rsid w:val="004627B8"/>
    <w:rsid w:val="00464C14"/>
    <w:rsid w:val="00465B3D"/>
    <w:rsid w:val="00474C3E"/>
    <w:rsid w:val="0048668D"/>
    <w:rsid w:val="00492CCD"/>
    <w:rsid w:val="0049404F"/>
    <w:rsid w:val="00494F42"/>
    <w:rsid w:val="00495027"/>
    <w:rsid w:val="00495494"/>
    <w:rsid w:val="00495601"/>
    <w:rsid w:val="004958FC"/>
    <w:rsid w:val="00495AE2"/>
    <w:rsid w:val="004A20C3"/>
    <w:rsid w:val="004A431F"/>
    <w:rsid w:val="004A65E5"/>
    <w:rsid w:val="004A6EE2"/>
    <w:rsid w:val="004A74AA"/>
    <w:rsid w:val="004B03E4"/>
    <w:rsid w:val="004C0D55"/>
    <w:rsid w:val="004C5C9E"/>
    <w:rsid w:val="004C6C15"/>
    <w:rsid w:val="004C7F0A"/>
    <w:rsid w:val="004D0904"/>
    <w:rsid w:val="004D20AF"/>
    <w:rsid w:val="004D2BCB"/>
    <w:rsid w:val="004D32AA"/>
    <w:rsid w:val="004D3A5D"/>
    <w:rsid w:val="004D49FD"/>
    <w:rsid w:val="004D66A5"/>
    <w:rsid w:val="004E0272"/>
    <w:rsid w:val="004F0462"/>
    <w:rsid w:val="004F4AF0"/>
    <w:rsid w:val="004F4FF7"/>
    <w:rsid w:val="004F7683"/>
    <w:rsid w:val="005018A0"/>
    <w:rsid w:val="005021BE"/>
    <w:rsid w:val="005071A4"/>
    <w:rsid w:val="00512417"/>
    <w:rsid w:val="00512BDF"/>
    <w:rsid w:val="00516FE9"/>
    <w:rsid w:val="0051732A"/>
    <w:rsid w:val="00527C33"/>
    <w:rsid w:val="005308EF"/>
    <w:rsid w:val="00531E7B"/>
    <w:rsid w:val="00537B81"/>
    <w:rsid w:val="00537C62"/>
    <w:rsid w:val="005429DC"/>
    <w:rsid w:val="0054366A"/>
    <w:rsid w:val="005470AD"/>
    <w:rsid w:val="00547610"/>
    <w:rsid w:val="0055485A"/>
    <w:rsid w:val="005549BC"/>
    <w:rsid w:val="005550A1"/>
    <w:rsid w:val="00560379"/>
    <w:rsid w:val="00560E54"/>
    <w:rsid w:val="00561307"/>
    <w:rsid w:val="00561540"/>
    <w:rsid w:val="00561EE5"/>
    <w:rsid w:val="00563C2C"/>
    <w:rsid w:val="00566824"/>
    <w:rsid w:val="005710B9"/>
    <w:rsid w:val="00571E97"/>
    <w:rsid w:val="00574717"/>
    <w:rsid w:val="005748C9"/>
    <w:rsid w:val="005829D8"/>
    <w:rsid w:val="00582F10"/>
    <w:rsid w:val="00583579"/>
    <w:rsid w:val="00583843"/>
    <w:rsid w:val="005844B7"/>
    <w:rsid w:val="00586425"/>
    <w:rsid w:val="00586A17"/>
    <w:rsid w:val="00586CD8"/>
    <w:rsid w:val="00587351"/>
    <w:rsid w:val="005873AB"/>
    <w:rsid w:val="005877A8"/>
    <w:rsid w:val="00592229"/>
    <w:rsid w:val="00594537"/>
    <w:rsid w:val="005945C9"/>
    <w:rsid w:val="005962ED"/>
    <w:rsid w:val="005A3DA1"/>
    <w:rsid w:val="005A4B2B"/>
    <w:rsid w:val="005A561D"/>
    <w:rsid w:val="005A6138"/>
    <w:rsid w:val="005B03EE"/>
    <w:rsid w:val="005B0DBF"/>
    <w:rsid w:val="005B4D52"/>
    <w:rsid w:val="005B5011"/>
    <w:rsid w:val="005B57A8"/>
    <w:rsid w:val="005C04C1"/>
    <w:rsid w:val="005C3D30"/>
    <w:rsid w:val="005C4BBA"/>
    <w:rsid w:val="005C4C25"/>
    <w:rsid w:val="005C5FA7"/>
    <w:rsid w:val="005E044E"/>
    <w:rsid w:val="005E0BCA"/>
    <w:rsid w:val="005E1329"/>
    <w:rsid w:val="005E2EAF"/>
    <w:rsid w:val="005E32F6"/>
    <w:rsid w:val="005E4B31"/>
    <w:rsid w:val="005E4F6E"/>
    <w:rsid w:val="005F137B"/>
    <w:rsid w:val="005F183E"/>
    <w:rsid w:val="005F40D2"/>
    <w:rsid w:val="005F453F"/>
    <w:rsid w:val="005F4EA6"/>
    <w:rsid w:val="005F61C7"/>
    <w:rsid w:val="005F669D"/>
    <w:rsid w:val="00603177"/>
    <w:rsid w:val="00605C1D"/>
    <w:rsid w:val="00607D23"/>
    <w:rsid w:val="0061014D"/>
    <w:rsid w:val="006135F9"/>
    <w:rsid w:val="00615AC8"/>
    <w:rsid w:val="00622015"/>
    <w:rsid w:val="00622D0A"/>
    <w:rsid w:val="0062321A"/>
    <w:rsid w:val="0062772B"/>
    <w:rsid w:val="00630AD3"/>
    <w:rsid w:val="00631AF3"/>
    <w:rsid w:val="00631FEB"/>
    <w:rsid w:val="0063596A"/>
    <w:rsid w:val="006460A1"/>
    <w:rsid w:val="00652F52"/>
    <w:rsid w:val="0065436B"/>
    <w:rsid w:val="00662B0E"/>
    <w:rsid w:val="00665643"/>
    <w:rsid w:val="00665A96"/>
    <w:rsid w:val="0066603A"/>
    <w:rsid w:val="006718A2"/>
    <w:rsid w:val="00672236"/>
    <w:rsid w:val="00684831"/>
    <w:rsid w:val="00690177"/>
    <w:rsid w:val="00690C33"/>
    <w:rsid w:val="006922DF"/>
    <w:rsid w:val="0069271C"/>
    <w:rsid w:val="00693DAE"/>
    <w:rsid w:val="00695092"/>
    <w:rsid w:val="0069542E"/>
    <w:rsid w:val="006A00B6"/>
    <w:rsid w:val="006A0B8A"/>
    <w:rsid w:val="006B08BA"/>
    <w:rsid w:val="006B0A4C"/>
    <w:rsid w:val="006B1F87"/>
    <w:rsid w:val="006B3C2F"/>
    <w:rsid w:val="006B4E82"/>
    <w:rsid w:val="006B54B6"/>
    <w:rsid w:val="006C034C"/>
    <w:rsid w:val="006C56EF"/>
    <w:rsid w:val="006D1B15"/>
    <w:rsid w:val="006D2D57"/>
    <w:rsid w:val="006D409A"/>
    <w:rsid w:val="006D419D"/>
    <w:rsid w:val="006E0808"/>
    <w:rsid w:val="006E4A99"/>
    <w:rsid w:val="006E6BB2"/>
    <w:rsid w:val="006E6C63"/>
    <w:rsid w:val="006F0690"/>
    <w:rsid w:val="006F179E"/>
    <w:rsid w:val="006F504B"/>
    <w:rsid w:val="006F6091"/>
    <w:rsid w:val="006F6A01"/>
    <w:rsid w:val="006F6EB3"/>
    <w:rsid w:val="00711CD2"/>
    <w:rsid w:val="007237D2"/>
    <w:rsid w:val="007265A0"/>
    <w:rsid w:val="0073074C"/>
    <w:rsid w:val="007326D9"/>
    <w:rsid w:val="007329F7"/>
    <w:rsid w:val="00734202"/>
    <w:rsid w:val="00736000"/>
    <w:rsid w:val="007360D7"/>
    <w:rsid w:val="007365B7"/>
    <w:rsid w:val="007403D7"/>
    <w:rsid w:val="00744C50"/>
    <w:rsid w:val="00744F03"/>
    <w:rsid w:val="007470F8"/>
    <w:rsid w:val="00750FC8"/>
    <w:rsid w:val="00751482"/>
    <w:rsid w:val="00752D06"/>
    <w:rsid w:val="00755DC9"/>
    <w:rsid w:val="007605E5"/>
    <w:rsid w:val="007636CF"/>
    <w:rsid w:val="007638AC"/>
    <w:rsid w:val="00764023"/>
    <w:rsid w:val="0076437C"/>
    <w:rsid w:val="00765C7F"/>
    <w:rsid w:val="007660F6"/>
    <w:rsid w:val="00771CE4"/>
    <w:rsid w:val="00775F3E"/>
    <w:rsid w:val="00776796"/>
    <w:rsid w:val="007773FB"/>
    <w:rsid w:val="00783759"/>
    <w:rsid w:val="0078591D"/>
    <w:rsid w:val="00787292"/>
    <w:rsid w:val="00796146"/>
    <w:rsid w:val="007A2EDC"/>
    <w:rsid w:val="007A3B75"/>
    <w:rsid w:val="007A44FC"/>
    <w:rsid w:val="007A4F78"/>
    <w:rsid w:val="007A52AE"/>
    <w:rsid w:val="007C5819"/>
    <w:rsid w:val="007C6F0D"/>
    <w:rsid w:val="007C7379"/>
    <w:rsid w:val="007D39F2"/>
    <w:rsid w:val="007D43B1"/>
    <w:rsid w:val="007D517C"/>
    <w:rsid w:val="007D5CA6"/>
    <w:rsid w:val="007D6590"/>
    <w:rsid w:val="007D7A1A"/>
    <w:rsid w:val="007E1FA1"/>
    <w:rsid w:val="007E3339"/>
    <w:rsid w:val="007E413D"/>
    <w:rsid w:val="007E4A8C"/>
    <w:rsid w:val="007E69B7"/>
    <w:rsid w:val="007F054D"/>
    <w:rsid w:val="007F1C25"/>
    <w:rsid w:val="007F26B7"/>
    <w:rsid w:val="007F7E2A"/>
    <w:rsid w:val="0080134B"/>
    <w:rsid w:val="0080440B"/>
    <w:rsid w:val="008057B2"/>
    <w:rsid w:val="008108CD"/>
    <w:rsid w:val="00812A8A"/>
    <w:rsid w:val="00813D2F"/>
    <w:rsid w:val="008145DF"/>
    <w:rsid w:val="00817038"/>
    <w:rsid w:val="00822584"/>
    <w:rsid w:val="00822C59"/>
    <w:rsid w:val="00822DE9"/>
    <w:rsid w:val="00823201"/>
    <w:rsid w:val="00823745"/>
    <w:rsid w:val="00824529"/>
    <w:rsid w:val="00824BFE"/>
    <w:rsid w:val="008262C7"/>
    <w:rsid w:val="008262DD"/>
    <w:rsid w:val="00826772"/>
    <w:rsid w:val="00837018"/>
    <w:rsid w:val="00840BE0"/>
    <w:rsid w:val="00840CA3"/>
    <w:rsid w:val="00850F37"/>
    <w:rsid w:val="0085376C"/>
    <w:rsid w:val="00854E34"/>
    <w:rsid w:val="0085519D"/>
    <w:rsid w:val="00855AEB"/>
    <w:rsid w:val="00861B9E"/>
    <w:rsid w:val="00861C64"/>
    <w:rsid w:val="0086205E"/>
    <w:rsid w:val="0086307F"/>
    <w:rsid w:val="0086407F"/>
    <w:rsid w:val="0086424E"/>
    <w:rsid w:val="0086568D"/>
    <w:rsid w:val="00870D8E"/>
    <w:rsid w:val="00872A38"/>
    <w:rsid w:val="00872A43"/>
    <w:rsid w:val="00872CDE"/>
    <w:rsid w:val="0087714F"/>
    <w:rsid w:val="008771E0"/>
    <w:rsid w:val="00883B78"/>
    <w:rsid w:val="00884848"/>
    <w:rsid w:val="008859EE"/>
    <w:rsid w:val="008907C3"/>
    <w:rsid w:val="008933EB"/>
    <w:rsid w:val="00895D8D"/>
    <w:rsid w:val="0089732D"/>
    <w:rsid w:val="008A1BC2"/>
    <w:rsid w:val="008A6E19"/>
    <w:rsid w:val="008B1EE1"/>
    <w:rsid w:val="008B3F35"/>
    <w:rsid w:val="008B4549"/>
    <w:rsid w:val="008B5540"/>
    <w:rsid w:val="008C1AC7"/>
    <w:rsid w:val="008C2ECA"/>
    <w:rsid w:val="008C2F9A"/>
    <w:rsid w:val="008C396C"/>
    <w:rsid w:val="008C424E"/>
    <w:rsid w:val="008C427E"/>
    <w:rsid w:val="008D2D1A"/>
    <w:rsid w:val="008D31C9"/>
    <w:rsid w:val="008D4FB5"/>
    <w:rsid w:val="008E0746"/>
    <w:rsid w:val="008E3897"/>
    <w:rsid w:val="008E4AD5"/>
    <w:rsid w:val="008E4D13"/>
    <w:rsid w:val="008E53B3"/>
    <w:rsid w:val="008E56AC"/>
    <w:rsid w:val="008E7246"/>
    <w:rsid w:val="008F4D9D"/>
    <w:rsid w:val="00902BA2"/>
    <w:rsid w:val="00903306"/>
    <w:rsid w:val="0091001B"/>
    <w:rsid w:val="00924CF6"/>
    <w:rsid w:val="00925744"/>
    <w:rsid w:val="009274A0"/>
    <w:rsid w:val="00931429"/>
    <w:rsid w:val="00932A35"/>
    <w:rsid w:val="00934A5E"/>
    <w:rsid w:val="00936EE3"/>
    <w:rsid w:val="00936F5A"/>
    <w:rsid w:val="0094166E"/>
    <w:rsid w:val="00950BAB"/>
    <w:rsid w:val="0095323B"/>
    <w:rsid w:val="00954CFF"/>
    <w:rsid w:val="009573EC"/>
    <w:rsid w:val="00957609"/>
    <w:rsid w:val="00963796"/>
    <w:rsid w:val="0096384B"/>
    <w:rsid w:val="009638DC"/>
    <w:rsid w:val="009642C8"/>
    <w:rsid w:val="0096792D"/>
    <w:rsid w:val="00970216"/>
    <w:rsid w:val="00970D74"/>
    <w:rsid w:val="00971885"/>
    <w:rsid w:val="009718C8"/>
    <w:rsid w:val="00973E8D"/>
    <w:rsid w:val="00975B9E"/>
    <w:rsid w:val="00981F6F"/>
    <w:rsid w:val="00982158"/>
    <w:rsid w:val="0098223F"/>
    <w:rsid w:val="00992A5B"/>
    <w:rsid w:val="00995883"/>
    <w:rsid w:val="00997F5F"/>
    <w:rsid w:val="009A063E"/>
    <w:rsid w:val="009A0938"/>
    <w:rsid w:val="009A1433"/>
    <w:rsid w:val="009A6442"/>
    <w:rsid w:val="009A7BAF"/>
    <w:rsid w:val="009B0464"/>
    <w:rsid w:val="009B1260"/>
    <w:rsid w:val="009B2B91"/>
    <w:rsid w:val="009B3663"/>
    <w:rsid w:val="009B399E"/>
    <w:rsid w:val="009C31EC"/>
    <w:rsid w:val="009C3F0D"/>
    <w:rsid w:val="009C79ED"/>
    <w:rsid w:val="009C7DB7"/>
    <w:rsid w:val="009D4406"/>
    <w:rsid w:val="009D5768"/>
    <w:rsid w:val="009E025A"/>
    <w:rsid w:val="009E0DAC"/>
    <w:rsid w:val="009E2934"/>
    <w:rsid w:val="009E6EF6"/>
    <w:rsid w:val="009F0402"/>
    <w:rsid w:val="009F046B"/>
    <w:rsid w:val="00A0456A"/>
    <w:rsid w:val="00A05126"/>
    <w:rsid w:val="00A14E78"/>
    <w:rsid w:val="00A1542C"/>
    <w:rsid w:val="00A158F5"/>
    <w:rsid w:val="00A32BB4"/>
    <w:rsid w:val="00A32BBF"/>
    <w:rsid w:val="00A35F87"/>
    <w:rsid w:val="00A36333"/>
    <w:rsid w:val="00A425AC"/>
    <w:rsid w:val="00A453CE"/>
    <w:rsid w:val="00A479E4"/>
    <w:rsid w:val="00A51094"/>
    <w:rsid w:val="00A51C75"/>
    <w:rsid w:val="00A52D4C"/>
    <w:rsid w:val="00A540D6"/>
    <w:rsid w:val="00A56F65"/>
    <w:rsid w:val="00A579C5"/>
    <w:rsid w:val="00A57B01"/>
    <w:rsid w:val="00A646B8"/>
    <w:rsid w:val="00A7160E"/>
    <w:rsid w:val="00A772CD"/>
    <w:rsid w:val="00A775D4"/>
    <w:rsid w:val="00A82303"/>
    <w:rsid w:val="00A829A4"/>
    <w:rsid w:val="00A83D25"/>
    <w:rsid w:val="00A84B9A"/>
    <w:rsid w:val="00A90611"/>
    <w:rsid w:val="00A9130F"/>
    <w:rsid w:val="00A918C1"/>
    <w:rsid w:val="00A9426B"/>
    <w:rsid w:val="00A979BF"/>
    <w:rsid w:val="00AA334C"/>
    <w:rsid w:val="00AA36D8"/>
    <w:rsid w:val="00AB25AD"/>
    <w:rsid w:val="00AC10FC"/>
    <w:rsid w:val="00AC4398"/>
    <w:rsid w:val="00AC5D11"/>
    <w:rsid w:val="00AC5FD0"/>
    <w:rsid w:val="00AC79C4"/>
    <w:rsid w:val="00AD30E5"/>
    <w:rsid w:val="00AD4C80"/>
    <w:rsid w:val="00AD508D"/>
    <w:rsid w:val="00AD59D9"/>
    <w:rsid w:val="00AD5E19"/>
    <w:rsid w:val="00AD7529"/>
    <w:rsid w:val="00AE74F8"/>
    <w:rsid w:val="00AE7B84"/>
    <w:rsid w:val="00AF0249"/>
    <w:rsid w:val="00AF248C"/>
    <w:rsid w:val="00AF3E64"/>
    <w:rsid w:val="00AF4456"/>
    <w:rsid w:val="00AF4D42"/>
    <w:rsid w:val="00B01D52"/>
    <w:rsid w:val="00B02F32"/>
    <w:rsid w:val="00B049D1"/>
    <w:rsid w:val="00B0669F"/>
    <w:rsid w:val="00B07A66"/>
    <w:rsid w:val="00B167E5"/>
    <w:rsid w:val="00B174D9"/>
    <w:rsid w:val="00B17C1B"/>
    <w:rsid w:val="00B20AFB"/>
    <w:rsid w:val="00B239FA"/>
    <w:rsid w:val="00B23C60"/>
    <w:rsid w:val="00B24C3E"/>
    <w:rsid w:val="00B25B22"/>
    <w:rsid w:val="00B25D7B"/>
    <w:rsid w:val="00B26C39"/>
    <w:rsid w:val="00B3132B"/>
    <w:rsid w:val="00B31656"/>
    <w:rsid w:val="00B31BE8"/>
    <w:rsid w:val="00B3611E"/>
    <w:rsid w:val="00B412B6"/>
    <w:rsid w:val="00B44E77"/>
    <w:rsid w:val="00B45170"/>
    <w:rsid w:val="00B51340"/>
    <w:rsid w:val="00B515FF"/>
    <w:rsid w:val="00B5260D"/>
    <w:rsid w:val="00B53B23"/>
    <w:rsid w:val="00B579B3"/>
    <w:rsid w:val="00B607F3"/>
    <w:rsid w:val="00B6273C"/>
    <w:rsid w:val="00B62B24"/>
    <w:rsid w:val="00B63510"/>
    <w:rsid w:val="00B63E8C"/>
    <w:rsid w:val="00B6596C"/>
    <w:rsid w:val="00B65AEA"/>
    <w:rsid w:val="00B66EDD"/>
    <w:rsid w:val="00B75312"/>
    <w:rsid w:val="00B76411"/>
    <w:rsid w:val="00B82809"/>
    <w:rsid w:val="00B82F06"/>
    <w:rsid w:val="00B84247"/>
    <w:rsid w:val="00B84FA9"/>
    <w:rsid w:val="00B86C86"/>
    <w:rsid w:val="00B91BED"/>
    <w:rsid w:val="00B9269E"/>
    <w:rsid w:val="00B92C61"/>
    <w:rsid w:val="00B93973"/>
    <w:rsid w:val="00BA137B"/>
    <w:rsid w:val="00BA1B4A"/>
    <w:rsid w:val="00BA2381"/>
    <w:rsid w:val="00BA28DC"/>
    <w:rsid w:val="00BA3F32"/>
    <w:rsid w:val="00BA4A63"/>
    <w:rsid w:val="00BA57D8"/>
    <w:rsid w:val="00BA5A9A"/>
    <w:rsid w:val="00BA6EC3"/>
    <w:rsid w:val="00BB0085"/>
    <w:rsid w:val="00BB31AD"/>
    <w:rsid w:val="00BB50D1"/>
    <w:rsid w:val="00BB7C9B"/>
    <w:rsid w:val="00BC0FA4"/>
    <w:rsid w:val="00BC24CB"/>
    <w:rsid w:val="00BC2878"/>
    <w:rsid w:val="00BC4C6D"/>
    <w:rsid w:val="00BC6F44"/>
    <w:rsid w:val="00BD0261"/>
    <w:rsid w:val="00BD230F"/>
    <w:rsid w:val="00BD50EA"/>
    <w:rsid w:val="00BD7D53"/>
    <w:rsid w:val="00BE2DBF"/>
    <w:rsid w:val="00BE456D"/>
    <w:rsid w:val="00BE64E4"/>
    <w:rsid w:val="00BE6559"/>
    <w:rsid w:val="00BF1098"/>
    <w:rsid w:val="00BF19A5"/>
    <w:rsid w:val="00BF1CD8"/>
    <w:rsid w:val="00BF33D5"/>
    <w:rsid w:val="00BF435F"/>
    <w:rsid w:val="00BF4651"/>
    <w:rsid w:val="00BF4768"/>
    <w:rsid w:val="00BF4901"/>
    <w:rsid w:val="00BF6737"/>
    <w:rsid w:val="00BF7CCC"/>
    <w:rsid w:val="00C01B84"/>
    <w:rsid w:val="00C020BB"/>
    <w:rsid w:val="00C0444E"/>
    <w:rsid w:val="00C058AF"/>
    <w:rsid w:val="00C061D4"/>
    <w:rsid w:val="00C10435"/>
    <w:rsid w:val="00C11642"/>
    <w:rsid w:val="00C123E9"/>
    <w:rsid w:val="00C13C92"/>
    <w:rsid w:val="00C14543"/>
    <w:rsid w:val="00C21DBE"/>
    <w:rsid w:val="00C22AEF"/>
    <w:rsid w:val="00C23B82"/>
    <w:rsid w:val="00C27DD6"/>
    <w:rsid w:val="00C3000D"/>
    <w:rsid w:val="00C3159B"/>
    <w:rsid w:val="00C35848"/>
    <w:rsid w:val="00C40840"/>
    <w:rsid w:val="00C415CA"/>
    <w:rsid w:val="00C439ED"/>
    <w:rsid w:val="00C475F2"/>
    <w:rsid w:val="00C52AF8"/>
    <w:rsid w:val="00C547CB"/>
    <w:rsid w:val="00C737DD"/>
    <w:rsid w:val="00C73F5F"/>
    <w:rsid w:val="00C75BAC"/>
    <w:rsid w:val="00C75F27"/>
    <w:rsid w:val="00C81E59"/>
    <w:rsid w:val="00C82443"/>
    <w:rsid w:val="00C8244B"/>
    <w:rsid w:val="00C82EFD"/>
    <w:rsid w:val="00C91A4B"/>
    <w:rsid w:val="00CA2E1F"/>
    <w:rsid w:val="00CA69F9"/>
    <w:rsid w:val="00CB1474"/>
    <w:rsid w:val="00CB6269"/>
    <w:rsid w:val="00CC32DC"/>
    <w:rsid w:val="00CC46B7"/>
    <w:rsid w:val="00CC5091"/>
    <w:rsid w:val="00CC72D3"/>
    <w:rsid w:val="00CC7969"/>
    <w:rsid w:val="00CC7AE4"/>
    <w:rsid w:val="00CC7C32"/>
    <w:rsid w:val="00CD2C04"/>
    <w:rsid w:val="00CD5225"/>
    <w:rsid w:val="00CD5E9E"/>
    <w:rsid w:val="00CE0145"/>
    <w:rsid w:val="00CE38EC"/>
    <w:rsid w:val="00CF074F"/>
    <w:rsid w:val="00CF2D9F"/>
    <w:rsid w:val="00CF5357"/>
    <w:rsid w:val="00D016B6"/>
    <w:rsid w:val="00D02886"/>
    <w:rsid w:val="00D04353"/>
    <w:rsid w:val="00D15327"/>
    <w:rsid w:val="00D16040"/>
    <w:rsid w:val="00D1672D"/>
    <w:rsid w:val="00D16FC9"/>
    <w:rsid w:val="00D21D3F"/>
    <w:rsid w:val="00D30784"/>
    <w:rsid w:val="00D366C9"/>
    <w:rsid w:val="00D37B08"/>
    <w:rsid w:val="00D40A7B"/>
    <w:rsid w:val="00D40F10"/>
    <w:rsid w:val="00D43191"/>
    <w:rsid w:val="00D45942"/>
    <w:rsid w:val="00D51898"/>
    <w:rsid w:val="00D51CBB"/>
    <w:rsid w:val="00D54C09"/>
    <w:rsid w:val="00D62189"/>
    <w:rsid w:val="00D62E74"/>
    <w:rsid w:val="00D670A7"/>
    <w:rsid w:val="00D6750B"/>
    <w:rsid w:val="00D70002"/>
    <w:rsid w:val="00D7485C"/>
    <w:rsid w:val="00D74CB6"/>
    <w:rsid w:val="00D8081E"/>
    <w:rsid w:val="00D81782"/>
    <w:rsid w:val="00D824ED"/>
    <w:rsid w:val="00D85FA3"/>
    <w:rsid w:val="00D86346"/>
    <w:rsid w:val="00D8773E"/>
    <w:rsid w:val="00D908B1"/>
    <w:rsid w:val="00DA1EE6"/>
    <w:rsid w:val="00DA2347"/>
    <w:rsid w:val="00DA24DD"/>
    <w:rsid w:val="00DA446E"/>
    <w:rsid w:val="00DA6942"/>
    <w:rsid w:val="00DA7F21"/>
    <w:rsid w:val="00DB0A8F"/>
    <w:rsid w:val="00DB182A"/>
    <w:rsid w:val="00DB45F1"/>
    <w:rsid w:val="00DB5030"/>
    <w:rsid w:val="00DC05E7"/>
    <w:rsid w:val="00DC0996"/>
    <w:rsid w:val="00DC1697"/>
    <w:rsid w:val="00DC1951"/>
    <w:rsid w:val="00DC35B5"/>
    <w:rsid w:val="00DC50FA"/>
    <w:rsid w:val="00DC5A73"/>
    <w:rsid w:val="00DD2CF7"/>
    <w:rsid w:val="00DE0217"/>
    <w:rsid w:val="00DE14AB"/>
    <w:rsid w:val="00DE3440"/>
    <w:rsid w:val="00DE534C"/>
    <w:rsid w:val="00DE534F"/>
    <w:rsid w:val="00DF44EB"/>
    <w:rsid w:val="00E06EEA"/>
    <w:rsid w:val="00E07A1B"/>
    <w:rsid w:val="00E12064"/>
    <w:rsid w:val="00E131E0"/>
    <w:rsid w:val="00E149DF"/>
    <w:rsid w:val="00E2024E"/>
    <w:rsid w:val="00E20E0D"/>
    <w:rsid w:val="00E23AF2"/>
    <w:rsid w:val="00E25EAF"/>
    <w:rsid w:val="00E26872"/>
    <w:rsid w:val="00E31A2A"/>
    <w:rsid w:val="00E321E9"/>
    <w:rsid w:val="00E331A8"/>
    <w:rsid w:val="00E33E7C"/>
    <w:rsid w:val="00E360E0"/>
    <w:rsid w:val="00E378FE"/>
    <w:rsid w:val="00E40C3F"/>
    <w:rsid w:val="00E4385A"/>
    <w:rsid w:val="00E4448A"/>
    <w:rsid w:val="00E461AB"/>
    <w:rsid w:val="00E5465E"/>
    <w:rsid w:val="00E546A1"/>
    <w:rsid w:val="00E54841"/>
    <w:rsid w:val="00E600E9"/>
    <w:rsid w:val="00E63DF1"/>
    <w:rsid w:val="00E645CB"/>
    <w:rsid w:val="00E707A1"/>
    <w:rsid w:val="00E7236B"/>
    <w:rsid w:val="00E7377D"/>
    <w:rsid w:val="00E76D23"/>
    <w:rsid w:val="00E77750"/>
    <w:rsid w:val="00E834E3"/>
    <w:rsid w:val="00E8494D"/>
    <w:rsid w:val="00E86078"/>
    <w:rsid w:val="00E90AFC"/>
    <w:rsid w:val="00E90EB0"/>
    <w:rsid w:val="00E91DB7"/>
    <w:rsid w:val="00EA6BBF"/>
    <w:rsid w:val="00EB7BD3"/>
    <w:rsid w:val="00EC2859"/>
    <w:rsid w:val="00EC39BD"/>
    <w:rsid w:val="00EC52DF"/>
    <w:rsid w:val="00EC74E1"/>
    <w:rsid w:val="00ED1FD6"/>
    <w:rsid w:val="00ED323E"/>
    <w:rsid w:val="00ED48C3"/>
    <w:rsid w:val="00ED4EB3"/>
    <w:rsid w:val="00ED5AAC"/>
    <w:rsid w:val="00EE1BC4"/>
    <w:rsid w:val="00EE424A"/>
    <w:rsid w:val="00EE59CC"/>
    <w:rsid w:val="00EF0578"/>
    <w:rsid w:val="00EF064F"/>
    <w:rsid w:val="00EF1263"/>
    <w:rsid w:val="00EF7635"/>
    <w:rsid w:val="00F000A3"/>
    <w:rsid w:val="00F00EF0"/>
    <w:rsid w:val="00F02911"/>
    <w:rsid w:val="00F0686A"/>
    <w:rsid w:val="00F06F2A"/>
    <w:rsid w:val="00F073F4"/>
    <w:rsid w:val="00F07A86"/>
    <w:rsid w:val="00F10864"/>
    <w:rsid w:val="00F15FF1"/>
    <w:rsid w:val="00F1658D"/>
    <w:rsid w:val="00F16F89"/>
    <w:rsid w:val="00F174C0"/>
    <w:rsid w:val="00F23493"/>
    <w:rsid w:val="00F30A39"/>
    <w:rsid w:val="00F3455D"/>
    <w:rsid w:val="00F35192"/>
    <w:rsid w:val="00F36DF9"/>
    <w:rsid w:val="00F406F6"/>
    <w:rsid w:val="00F41C59"/>
    <w:rsid w:val="00F42C8C"/>
    <w:rsid w:val="00F4371A"/>
    <w:rsid w:val="00F45B47"/>
    <w:rsid w:val="00F55DA3"/>
    <w:rsid w:val="00F56090"/>
    <w:rsid w:val="00F66472"/>
    <w:rsid w:val="00F66A10"/>
    <w:rsid w:val="00F67A3F"/>
    <w:rsid w:val="00F71494"/>
    <w:rsid w:val="00F718B6"/>
    <w:rsid w:val="00F728DF"/>
    <w:rsid w:val="00F72A44"/>
    <w:rsid w:val="00F7779C"/>
    <w:rsid w:val="00F80299"/>
    <w:rsid w:val="00F80E05"/>
    <w:rsid w:val="00F84CB9"/>
    <w:rsid w:val="00F84CD8"/>
    <w:rsid w:val="00F87718"/>
    <w:rsid w:val="00F934D9"/>
    <w:rsid w:val="00F942F6"/>
    <w:rsid w:val="00F94F3C"/>
    <w:rsid w:val="00F95918"/>
    <w:rsid w:val="00FA343C"/>
    <w:rsid w:val="00FA3D0D"/>
    <w:rsid w:val="00FA4ABD"/>
    <w:rsid w:val="00FA7BA8"/>
    <w:rsid w:val="00FB4EB8"/>
    <w:rsid w:val="00FB7E55"/>
    <w:rsid w:val="00FC0259"/>
    <w:rsid w:val="00FC246A"/>
    <w:rsid w:val="00FC4D53"/>
    <w:rsid w:val="00FD024F"/>
    <w:rsid w:val="00FD3F68"/>
    <w:rsid w:val="00FD52B9"/>
    <w:rsid w:val="00FE276E"/>
    <w:rsid w:val="00FE307B"/>
    <w:rsid w:val="00FE3FF8"/>
    <w:rsid w:val="00FE691E"/>
    <w:rsid w:val="00FF0184"/>
    <w:rsid w:val="00FF040C"/>
    <w:rsid w:val="00FF18EF"/>
    <w:rsid w:val="00FF3E49"/>
    <w:rsid w:val="00FF4886"/>
    <w:rsid w:val="00FF50C3"/>
    <w:rsid w:val="00FF54CC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768F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07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59"/>
  </w:style>
  <w:style w:type="paragraph" w:styleId="Footer">
    <w:name w:val="footer"/>
    <w:basedOn w:val="Normal"/>
    <w:link w:val="FooterChar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-go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9407-E4C6-492F-A019-747D88F3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Veselin Ninov</cp:lastModifiedBy>
  <cp:revision>3</cp:revision>
  <cp:lastPrinted>2018-03-01T09:21:00Z</cp:lastPrinted>
  <dcterms:created xsi:type="dcterms:W3CDTF">2018-07-12T11:27:00Z</dcterms:created>
  <dcterms:modified xsi:type="dcterms:W3CDTF">2018-07-12T11:27:00Z</dcterms:modified>
</cp:coreProperties>
</file>