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F8B87" w14:textId="77777777" w:rsidR="008F7591" w:rsidRDefault="008F7591" w:rsidP="00AF0DE7">
      <w:pPr>
        <w:spacing w:after="120" w:line="240" w:lineRule="auto"/>
        <w:jc w:val="center"/>
        <w:rPr>
          <w:b/>
          <w:bCs/>
          <w:sz w:val="24"/>
          <w:szCs w:val="24"/>
        </w:rPr>
      </w:pPr>
      <w:r>
        <w:object w:dxaOrig="12854" w:dyaOrig="2343" w14:anchorId="5A95B1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78pt" o:ole="">
            <v:imagedata r:id="rId8" o:title=""/>
          </v:shape>
          <o:OLEObject Type="Embed" ProgID="Visio.Drawing.11" ShapeID="_x0000_i1025" DrawAspect="Content" ObjectID="_1696840557" r:id="rId9"/>
        </w:object>
      </w:r>
    </w:p>
    <w:p w14:paraId="4804E4B4" w14:textId="77777777" w:rsidR="001B3787" w:rsidRPr="001C4A98" w:rsidRDefault="001B3787" w:rsidP="00A71E02">
      <w:pPr>
        <w:spacing w:after="120" w:line="240" w:lineRule="auto"/>
        <w:jc w:val="center"/>
        <w:rPr>
          <w:b/>
          <w:bCs/>
          <w:sz w:val="32"/>
          <w:szCs w:val="32"/>
        </w:rPr>
      </w:pPr>
    </w:p>
    <w:p w14:paraId="1623C394" w14:textId="18F787F7" w:rsidR="00B679F9" w:rsidRPr="00DC10E8" w:rsidRDefault="00DC10E8" w:rsidP="00A71E02">
      <w:pPr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DC10E8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твърдена със Заповед № ДАЕУ- 17250/19.10.2021 г. </w:t>
      </w:r>
      <w:r w:rsidR="00B679F9" w:rsidRPr="00DC10E8">
        <w:rPr>
          <w:b/>
          <w:bCs/>
          <w:sz w:val="24"/>
          <w:szCs w:val="24"/>
        </w:rPr>
        <w:tab/>
      </w:r>
      <w:r w:rsidR="00B679F9" w:rsidRPr="00DC10E8">
        <w:rPr>
          <w:b/>
          <w:bCs/>
          <w:sz w:val="24"/>
          <w:szCs w:val="24"/>
        </w:rPr>
        <w:tab/>
      </w:r>
      <w:r w:rsidR="00B679F9" w:rsidRPr="00DC10E8">
        <w:rPr>
          <w:b/>
          <w:bCs/>
          <w:sz w:val="24"/>
          <w:szCs w:val="24"/>
        </w:rPr>
        <w:tab/>
      </w:r>
      <w:r w:rsidR="00B679F9" w:rsidRPr="00DC10E8">
        <w:rPr>
          <w:b/>
          <w:bCs/>
          <w:sz w:val="24"/>
          <w:szCs w:val="24"/>
        </w:rPr>
        <w:tab/>
      </w:r>
    </w:p>
    <w:p w14:paraId="177C4F5A" w14:textId="77777777" w:rsidR="00DC10E8" w:rsidRDefault="00DC10E8" w:rsidP="00A71E02">
      <w:pPr>
        <w:spacing w:after="120" w:line="240" w:lineRule="auto"/>
        <w:jc w:val="center"/>
        <w:rPr>
          <w:b/>
          <w:bCs/>
          <w:sz w:val="32"/>
          <w:szCs w:val="32"/>
        </w:rPr>
      </w:pPr>
    </w:p>
    <w:p w14:paraId="7D955B76" w14:textId="76336E38" w:rsidR="00A71E02" w:rsidRPr="001C4A98" w:rsidRDefault="00B96EE6" w:rsidP="00A71E02">
      <w:pPr>
        <w:spacing w:after="12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C4A98">
        <w:rPr>
          <w:b/>
          <w:bCs/>
          <w:sz w:val="32"/>
          <w:szCs w:val="32"/>
        </w:rPr>
        <w:t>Методика</w:t>
      </w:r>
    </w:p>
    <w:p w14:paraId="695EE684" w14:textId="31E4C70C" w:rsidR="00E758B3" w:rsidRPr="001C4A98" w:rsidRDefault="00B96EE6" w:rsidP="00A71E02">
      <w:pPr>
        <w:spacing w:after="120" w:line="240" w:lineRule="auto"/>
        <w:jc w:val="center"/>
        <w:rPr>
          <w:b/>
          <w:bCs/>
          <w:sz w:val="32"/>
          <w:szCs w:val="32"/>
        </w:rPr>
      </w:pPr>
      <w:r w:rsidRPr="001C4A98">
        <w:rPr>
          <w:b/>
          <w:bCs/>
          <w:sz w:val="32"/>
          <w:szCs w:val="32"/>
        </w:rPr>
        <w:t xml:space="preserve">за удостоверяване на съответствието </w:t>
      </w:r>
      <w:r w:rsidR="005F1DF6" w:rsidRPr="001C4A98">
        <w:rPr>
          <w:b/>
          <w:bCs/>
          <w:sz w:val="32"/>
          <w:szCs w:val="32"/>
        </w:rPr>
        <w:t>на доставения тип техническо устройство за машинно гласуване с изискванията по чл.</w:t>
      </w:r>
      <w:r w:rsidR="0041370C">
        <w:rPr>
          <w:b/>
          <w:bCs/>
          <w:sz w:val="32"/>
          <w:szCs w:val="32"/>
        </w:rPr>
        <w:t xml:space="preserve"> </w:t>
      </w:r>
      <w:r w:rsidR="005F1DF6" w:rsidRPr="001C4A98">
        <w:rPr>
          <w:b/>
          <w:bCs/>
          <w:sz w:val="32"/>
          <w:szCs w:val="32"/>
        </w:rPr>
        <w:t xml:space="preserve">213, ал. 3 </w:t>
      </w:r>
      <w:r w:rsidR="001B6876" w:rsidRPr="001C4A98">
        <w:rPr>
          <w:b/>
          <w:bCs/>
          <w:sz w:val="32"/>
          <w:szCs w:val="32"/>
        </w:rPr>
        <w:t xml:space="preserve">от Изборния кодекс </w:t>
      </w:r>
      <w:r w:rsidR="00072868">
        <w:rPr>
          <w:b/>
          <w:bCs/>
          <w:sz w:val="32"/>
          <w:szCs w:val="32"/>
        </w:rPr>
        <w:t>и изискванията на техническата спецификация</w:t>
      </w:r>
    </w:p>
    <w:p w14:paraId="282AC411" w14:textId="043E696B" w:rsidR="00B96EE6" w:rsidRPr="001C4A98" w:rsidRDefault="00B96EE6" w:rsidP="005F1DF6">
      <w:pPr>
        <w:spacing w:after="120" w:line="240" w:lineRule="auto"/>
        <w:jc w:val="center"/>
        <w:rPr>
          <w:b/>
          <w:bCs/>
          <w:sz w:val="32"/>
          <w:szCs w:val="32"/>
        </w:rPr>
      </w:pPr>
    </w:p>
    <w:p w14:paraId="0FCF6B9D" w14:textId="43CD50DE" w:rsidR="00B96EE6" w:rsidRPr="001C4A98" w:rsidRDefault="00B96EE6" w:rsidP="00E73785">
      <w:pPr>
        <w:numPr>
          <w:ilvl w:val="0"/>
          <w:numId w:val="1"/>
        </w:numPr>
        <w:spacing w:before="360" w:after="240" w:line="240" w:lineRule="auto"/>
        <w:ind w:left="648"/>
        <w:jc w:val="both"/>
        <w:rPr>
          <w:b/>
          <w:bCs/>
          <w:sz w:val="26"/>
          <w:szCs w:val="26"/>
        </w:rPr>
      </w:pPr>
      <w:r w:rsidRPr="001C4A98">
        <w:rPr>
          <w:b/>
          <w:bCs/>
          <w:sz w:val="26"/>
          <w:szCs w:val="26"/>
        </w:rPr>
        <w:t>Общи положения</w:t>
      </w:r>
      <w:r w:rsidR="00FF20DF" w:rsidRPr="001C4A98">
        <w:rPr>
          <w:b/>
          <w:bCs/>
          <w:sz w:val="26"/>
          <w:szCs w:val="26"/>
        </w:rPr>
        <w:t xml:space="preserve"> </w:t>
      </w:r>
    </w:p>
    <w:p w14:paraId="00D239D6" w14:textId="76BF252E" w:rsidR="00CE0852" w:rsidRPr="001C4A98" w:rsidRDefault="00CE0852" w:rsidP="008D0DD2">
      <w:pPr>
        <w:pStyle w:val="CommentText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>Цел на настоящата Методика е разработване на процедури, които ще имат за резултат удостоверяване на съответствието на доставения/</w:t>
      </w:r>
      <w:proofErr w:type="spellStart"/>
      <w:r w:rsidRPr="001C4A98">
        <w:rPr>
          <w:bCs/>
          <w:sz w:val="24"/>
          <w:szCs w:val="24"/>
        </w:rPr>
        <w:t>ите</w:t>
      </w:r>
      <w:proofErr w:type="spellEnd"/>
      <w:r w:rsidRPr="001C4A98">
        <w:rPr>
          <w:bCs/>
          <w:sz w:val="24"/>
          <w:szCs w:val="24"/>
        </w:rPr>
        <w:t xml:space="preserve"> тип/</w:t>
      </w:r>
      <w:proofErr w:type="spellStart"/>
      <w:r w:rsidRPr="001C4A98">
        <w:rPr>
          <w:bCs/>
          <w:sz w:val="24"/>
          <w:szCs w:val="24"/>
        </w:rPr>
        <w:t>ове</w:t>
      </w:r>
      <w:proofErr w:type="spellEnd"/>
      <w:r w:rsidRPr="001C4A98">
        <w:rPr>
          <w:bCs/>
          <w:sz w:val="24"/>
          <w:szCs w:val="24"/>
        </w:rPr>
        <w:t xml:space="preserve"> техническо устройство за машинно гласуване </w:t>
      </w:r>
      <w:r w:rsidRPr="002B1EEF">
        <w:rPr>
          <w:bCs/>
          <w:sz w:val="24"/>
          <w:szCs w:val="24"/>
        </w:rPr>
        <w:t xml:space="preserve">с </w:t>
      </w:r>
      <w:r w:rsidRPr="001C4A98">
        <w:rPr>
          <w:bCs/>
          <w:sz w:val="24"/>
          <w:szCs w:val="24"/>
        </w:rPr>
        <w:t>техническите изисквания към апаратната и програмната част на техническите устройства за машинно гласуване, които са определени от Централната избирателна комисия съгласно чл. 213, ал. 3 от Изборния кодекс</w:t>
      </w:r>
      <w:r w:rsidR="00C14321">
        <w:rPr>
          <w:bCs/>
          <w:sz w:val="24"/>
          <w:szCs w:val="24"/>
        </w:rPr>
        <w:t xml:space="preserve"> и </w:t>
      </w:r>
      <w:r w:rsidR="005A48D3">
        <w:rPr>
          <w:bCs/>
          <w:sz w:val="24"/>
          <w:szCs w:val="24"/>
        </w:rPr>
        <w:t>изискванията на приложимата</w:t>
      </w:r>
      <w:r w:rsidR="00D66D10">
        <w:rPr>
          <w:bCs/>
          <w:sz w:val="24"/>
          <w:szCs w:val="24"/>
        </w:rPr>
        <w:t>/те</w:t>
      </w:r>
      <w:r w:rsidR="005A48D3">
        <w:rPr>
          <w:bCs/>
          <w:sz w:val="24"/>
          <w:szCs w:val="24"/>
        </w:rPr>
        <w:t xml:space="preserve"> техническа</w:t>
      </w:r>
      <w:r w:rsidR="00D66D10">
        <w:rPr>
          <w:bCs/>
          <w:sz w:val="24"/>
          <w:szCs w:val="24"/>
        </w:rPr>
        <w:t>/и</w:t>
      </w:r>
      <w:r w:rsidR="00C14321">
        <w:rPr>
          <w:bCs/>
          <w:sz w:val="24"/>
          <w:szCs w:val="24"/>
        </w:rPr>
        <w:t xml:space="preserve"> спецификация</w:t>
      </w:r>
      <w:r w:rsidR="00D66D10">
        <w:rPr>
          <w:bCs/>
          <w:sz w:val="24"/>
          <w:szCs w:val="24"/>
        </w:rPr>
        <w:t>/и</w:t>
      </w:r>
      <w:r w:rsidR="00C14321">
        <w:rPr>
          <w:bCs/>
          <w:sz w:val="24"/>
          <w:szCs w:val="24"/>
        </w:rPr>
        <w:t xml:space="preserve">. </w:t>
      </w:r>
    </w:p>
    <w:p w14:paraId="2341DC1F" w14:textId="420E5478" w:rsidR="00C23FBB" w:rsidRPr="001C4A98" w:rsidRDefault="00C23FBB" w:rsidP="008D0DD2">
      <w:pPr>
        <w:pStyle w:val="CommentText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>У</w:t>
      </w:r>
      <w:r w:rsidR="00D21A7C" w:rsidRPr="001C4A98">
        <w:rPr>
          <w:bCs/>
          <w:sz w:val="24"/>
          <w:szCs w:val="24"/>
        </w:rPr>
        <w:t>достоверяване</w:t>
      </w:r>
      <w:r w:rsidRPr="001C4A98">
        <w:rPr>
          <w:bCs/>
          <w:sz w:val="24"/>
          <w:szCs w:val="24"/>
        </w:rPr>
        <w:t>то</w:t>
      </w:r>
      <w:r w:rsidR="00D21A7C" w:rsidRPr="001C4A98">
        <w:rPr>
          <w:bCs/>
          <w:sz w:val="24"/>
          <w:szCs w:val="24"/>
        </w:rPr>
        <w:t xml:space="preserve"> на съответствието </w:t>
      </w:r>
      <w:r w:rsidR="00B96EE6" w:rsidRPr="001C4A98">
        <w:rPr>
          <w:bCs/>
          <w:sz w:val="24"/>
          <w:szCs w:val="24"/>
        </w:rPr>
        <w:t xml:space="preserve">включва </w:t>
      </w:r>
      <w:r w:rsidRPr="001C4A98">
        <w:rPr>
          <w:bCs/>
          <w:sz w:val="24"/>
          <w:szCs w:val="24"/>
        </w:rPr>
        <w:t>процес</w:t>
      </w:r>
      <w:r w:rsidR="003F6995" w:rsidRPr="001C4A98">
        <w:rPr>
          <w:bCs/>
          <w:sz w:val="24"/>
          <w:szCs w:val="24"/>
        </w:rPr>
        <w:t>ите</w:t>
      </w:r>
      <w:r w:rsidRPr="001C4A98">
        <w:rPr>
          <w:bCs/>
          <w:sz w:val="24"/>
          <w:szCs w:val="24"/>
        </w:rPr>
        <w:t xml:space="preserve"> по оценяване на съответствието на доставения тип техническо устройство за машинно гласуване с изискванията на чл. 213, ал. 3 от Изборния кодекс</w:t>
      </w:r>
      <w:r w:rsidR="00C14321">
        <w:rPr>
          <w:bCs/>
          <w:sz w:val="24"/>
          <w:szCs w:val="24"/>
        </w:rPr>
        <w:t xml:space="preserve"> и техническата спецификация</w:t>
      </w:r>
      <w:r w:rsidRPr="001C4A98">
        <w:rPr>
          <w:bCs/>
          <w:sz w:val="24"/>
          <w:szCs w:val="24"/>
        </w:rPr>
        <w:t xml:space="preserve">, изготвянето на </w:t>
      </w:r>
      <w:r w:rsidR="007C438E" w:rsidRPr="001C4A98">
        <w:rPr>
          <w:bCs/>
          <w:sz w:val="24"/>
          <w:szCs w:val="24"/>
        </w:rPr>
        <w:t>п</w:t>
      </w:r>
      <w:r w:rsidR="009D5711" w:rsidRPr="001C4A98">
        <w:rPr>
          <w:bCs/>
          <w:sz w:val="24"/>
          <w:szCs w:val="24"/>
        </w:rPr>
        <w:t>ротоколи и д</w:t>
      </w:r>
      <w:r w:rsidR="00A51112" w:rsidRPr="001C4A98">
        <w:rPr>
          <w:bCs/>
          <w:sz w:val="24"/>
          <w:szCs w:val="24"/>
        </w:rPr>
        <w:t xml:space="preserve">оклад </w:t>
      </w:r>
      <w:r w:rsidRPr="001C4A98">
        <w:rPr>
          <w:bCs/>
          <w:sz w:val="24"/>
          <w:szCs w:val="24"/>
        </w:rPr>
        <w:t>за оценяване на съответствието</w:t>
      </w:r>
      <w:r w:rsidR="009D5711" w:rsidRPr="001C4A98">
        <w:rPr>
          <w:bCs/>
          <w:sz w:val="24"/>
          <w:szCs w:val="24"/>
        </w:rPr>
        <w:t xml:space="preserve"> (по-нататък в текста „Доклада“)</w:t>
      </w:r>
      <w:r w:rsidRPr="001C4A98">
        <w:rPr>
          <w:bCs/>
          <w:sz w:val="24"/>
          <w:szCs w:val="24"/>
        </w:rPr>
        <w:t xml:space="preserve"> </w:t>
      </w:r>
      <w:r w:rsidR="009957DC" w:rsidRPr="001C4A98">
        <w:rPr>
          <w:bCs/>
          <w:sz w:val="24"/>
          <w:szCs w:val="24"/>
        </w:rPr>
        <w:t>и постановяване</w:t>
      </w:r>
      <w:r w:rsidRPr="001C4A98">
        <w:rPr>
          <w:bCs/>
          <w:sz w:val="24"/>
          <w:szCs w:val="24"/>
        </w:rPr>
        <w:t xml:space="preserve"> на решение </w:t>
      </w:r>
      <w:r w:rsidR="009957DC" w:rsidRPr="001C4A98">
        <w:rPr>
          <w:bCs/>
          <w:sz w:val="24"/>
          <w:szCs w:val="24"/>
        </w:rPr>
        <w:t xml:space="preserve">за </w:t>
      </w:r>
      <w:r w:rsidRPr="001C4A98">
        <w:rPr>
          <w:bCs/>
          <w:sz w:val="24"/>
          <w:szCs w:val="24"/>
        </w:rPr>
        <w:t>удостоверява</w:t>
      </w:r>
      <w:r w:rsidR="009957DC" w:rsidRPr="001C4A98">
        <w:rPr>
          <w:bCs/>
          <w:sz w:val="24"/>
          <w:szCs w:val="24"/>
        </w:rPr>
        <w:t>не на с</w:t>
      </w:r>
      <w:r w:rsidRPr="001C4A98">
        <w:rPr>
          <w:bCs/>
          <w:sz w:val="24"/>
          <w:szCs w:val="24"/>
        </w:rPr>
        <w:t>ъответствието</w:t>
      </w:r>
      <w:r w:rsidR="00A81462" w:rsidRPr="001C4A98">
        <w:rPr>
          <w:bCs/>
          <w:sz w:val="24"/>
          <w:szCs w:val="24"/>
        </w:rPr>
        <w:t xml:space="preserve"> </w:t>
      </w:r>
      <w:r w:rsidR="009957DC" w:rsidRPr="001C4A98">
        <w:rPr>
          <w:bCs/>
          <w:sz w:val="24"/>
          <w:szCs w:val="24"/>
        </w:rPr>
        <w:t>от п</w:t>
      </w:r>
      <w:r w:rsidRPr="001C4A98">
        <w:rPr>
          <w:bCs/>
          <w:sz w:val="24"/>
          <w:szCs w:val="24"/>
        </w:rPr>
        <w:t xml:space="preserve">редседателя на </w:t>
      </w:r>
      <w:r w:rsidR="009957DC" w:rsidRPr="001C4A98">
        <w:rPr>
          <w:bCs/>
          <w:sz w:val="24"/>
          <w:szCs w:val="24"/>
        </w:rPr>
        <w:t>Държавна агенция „Електронно управление“ (</w:t>
      </w:r>
      <w:r w:rsidRPr="001C4A98">
        <w:rPr>
          <w:bCs/>
          <w:sz w:val="24"/>
          <w:szCs w:val="24"/>
        </w:rPr>
        <w:t>ДАЕУ</w:t>
      </w:r>
      <w:r w:rsidR="009957DC" w:rsidRPr="001C4A98">
        <w:rPr>
          <w:bCs/>
          <w:sz w:val="24"/>
          <w:szCs w:val="24"/>
        </w:rPr>
        <w:t>)</w:t>
      </w:r>
      <w:r w:rsidRPr="001C4A98">
        <w:rPr>
          <w:bCs/>
          <w:sz w:val="24"/>
          <w:szCs w:val="24"/>
        </w:rPr>
        <w:t xml:space="preserve">, съвместно с председателя на </w:t>
      </w:r>
      <w:r w:rsidR="009957DC" w:rsidRPr="001C4A98">
        <w:rPr>
          <w:bCs/>
          <w:sz w:val="24"/>
          <w:szCs w:val="24"/>
        </w:rPr>
        <w:t>Българския институт по метрология (</w:t>
      </w:r>
      <w:r w:rsidRPr="001C4A98">
        <w:rPr>
          <w:bCs/>
          <w:sz w:val="24"/>
          <w:szCs w:val="24"/>
        </w:rPr>
        <w:t>БИМ</w:t>
      </w:r>
      <w:r w:rsidR="009957DC" w:rsidRPr="001C4A98">
        <w:rPr>
          <w:bCs/>
          <w:sz w:val="24"/>
          <w:szCs w:val="24"/>
        </w:rPr>
        <w:t>)</w:t>
      </w:r>
      <w:r w:rsidRPr="001C4A98">
        <w:rPr>
          <w:bCs/>
          <w:sz w:val="24"/>
          <w:szCs w:val="24"/>
        </w:rPr>
        <w:t xml:space="preserve"> и председателя на </w:t>
      </w:r>
      <w:r w:rsidR="009957DC" w:rsidRPr="001C4A98">
        <w:rPr>
          <w:bCs/>
          <w:sz w:val="24"/>
          <w:szCs w:val="24"/>
        </w:rPr>
        <w:t xml:space="preserve">Управителния съвет </w:t>
      </w:r>
      <w:r w:rsidRPr="001C4A98">
        <w:rPr>
          <w:bCs/>
          <w:sz w:val="24"/>
          <w:szCs w:val="24"/>
        </w:rPr>
        <w:t>н</w:t>
      </w:r>
      <w:r w:rsidR="009957DC" w:rsidRPr="001C4A98">
        <w:rPr>
          <w:bCs/>
          <w:sz w:val="24"/>
          <w:szCs w:val="24"/>
        </w:rPr>
        <w:t xml:space="preserve">а Българския институт </w:t>
      </w:r>
      <w:r w:rsidR="00A81462" w:rsidRPr="001C4A98">
        <w:rPr>
          <w:bCs/>
          <w:sz w:val="24"/>
          <w:szCs w:val="24"/>
        </w:rPr>
        <w:t>за</w:t>
      </w:r>
      <w:r w:rsidR="009957DC" w:rsidRPr="001C4A98">
        <w:rPr>
          <w:bCs/>
          <w:sz w:val="24"/>
          <w:szCs w:val="24"/>
        </w:rPr>
        <w:t xml:space="preserve"> стандартизация (</w:t>
      </w:r>
      <w:r w:rsidR="00D2595C" w:rsidRPr="001C4A98">
        <w:rPr>
          <w:bCs/>
          <w:sz w:val="24"/>
          <w:szCs w:val="24"/>
        </w:rPr>
        <w:t>БИС), съгласно чл. 213а, ал. 2</w:t>
      </w:r>
      <w:r w:rsidRPr="001C4A98">
        <w:rPr>
          <w:bCs/>
          <w:sz w:val="24"/>
          <w:szCs w:val="24"/>
        </w:rPr>
        <w:t xml:space="preserve"> от Изборния кодекс</w:t>
      </w:r>
      <w:r w:rsidR="00240062" w:rsidRPr="001C4A98">
        <w:rPr>
          <w:bCs/>
          <w:sz w:val="24"/>
          <w:szCs w:val="24"/>
        </w:rPr>
        <w:t>.</w:t>
      </w:r>
      <w:r w:rsidR="00D365A1" w:rsidRPr="001C4A98">
        <w:rPr>
          <w:bCs/>
          <w:sz w:val="24"/>
          <w:szCs w:val="24"/>
        </w:rPr>
        <w:t xml:space="preserve"> </w:t>
      </w:r>
    </w:p>
    <w:p w14:paraId="61B2FD60" w14:textId="48DFF5E0" w:rsidR="008D0DD2" w:rsidRPr="002A54F8" w:rsidRDefault="00BF5C98" w:rsidP="008D0DD2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>В международната практика е установено</w:t>
      </w:r>
      <w:r w:rsidR="008D0DD2" w:rsidRPr="001C4A98">
        <w:rPr>
          <w:bCs/>
          <w:sz w:val="24"/>
          <w:szCs w:val="24"/>
        </w:rPr>
        <w:t xml:space="preserve"> и прието</w:t>
      </w:r>
      <w:r w:rsidRPr="001C4A98">
        <w:rPr>
          <w:bCs/>
          <w:sz w:val="24"/>
          <w:szCs w:val="24"/>
        </w:rPr>
        <w:t xml:space="preserve">, че </w:t>
      </w:r>
      <w:r w:rsidR="00176E1E" w:rsidRPr="001C4A98">
        <w:rPr>
          <w:bCs/>
          <w:sz w:val="24"/>
          <w:szCs w:val="24"/>
        </w:rPr>
        <w:t>оценяването на</w:t>
      </w:r>
      <w:r w:rsidR="006308A4" w:rsidRPr="001C4A98">
        <w:rPr>
          <w:bCs/>
          <w:sz w:val="24"/>
          <w:szCs w:val="24"/>
        </w:rPr>
        <w:t xml:space="preserve"> съответствието </w:t>
      </w:r>
      <w:r w:rsidR="008D0DD2" w:rsidRPr="001C4A98">
        <w:rPr>
          <w:bCs/>
          <w:sz w:val="24"/>
          <w:szCs w:val="24"/>
        </w:rPr>
        <w:t xml:space="preserve">спрямо определени изисквания </w:t>
      </w:r>
      <w:r w:rsidR="006308A4" w:rsidRPr="001C4A98">
        <w:rPr>
          <w:bCs/>
          <w:sz w:val="24"/>
          <w:szCs w:val="24"/>
        </w:rPr>
        <w:t xml:space="preserve">се извършва от </w:t>
      </w:r>
      <w:r w:rsidRPr="001C4A98">
        <w:rPr>
          <w:bCs/>
          <w:sz w:val="24"/>
          <w:szCs w:val="24"/>
        </w:rPr>
        <w:t>независим и компетентен орган под формата на сертифициране</w:t>
      </w:r>
      <w:r w:rsidR="00146815" w:rsidRPr="001C4A98">
        <w:rPr>
          <w:bCs/>
          <w:sz w:val="24"/>
          <w:szCs w:val="24"/>
        </w:rPr>
        <w:t xml:space="preserve"> (</w:t>
      </w:r>
      <w:r w:rsidR="00797808" w:rsidRPr="001C4A98">
        <w:rPr>
          <w:bCs/>
          <w:sz w:val="24"/>
          <w:szCs w:val="24"/>
        </w:rPr>
        <w:t>следвайки</w:t>
      </w:r>
      <w:r w:rsidR="00146815" w:rsidRPr="001C4A98">
        <w:rPr>
          <w:bCs/>
          <w:sz w:val="24"/>
          <w:szCs w:val="24"/>
        </w:rPr>
        <w:t xml:space="preserve"> </w:t>
      </w:r>
      <w:r w:rsidR="00797808" w:rsidRPr="001C4A98">
        <w:rPr>
          <w:bCs/>
          <w:sz w:val="24"/>
          <w:szCs w:val="24"/>
        </w:rPr>
        <w:t xml:space="preserve">определена </w:t>
      </w:r>
      <w:r w:rsidR="00146815" w:rsidRPr="001C4A98">
        <w:rPr>
          <w:bCs/>
          <w:sz w:val="24"/>
          <w:szCs w:val="24"/>
        </w:rPr>
        <w:t>сертификационна схема)</w:t>
      </w:r>
      <w:r w:rsidRPr="001C4A98">
        <w:rPr>
          <w:bCs/>
          <w:sz w:val="24"/>
          <w:szCs w:val="24"/>
        </w:rPr>
        <w:t xml:space="preserve"> или посредством друг подходящ начин.</w:t>
      </w:r>
      <w:r w:rsidR="008D0DD2" w:rsidRPr="001C4A98">
        <w:rPr>
          <w:bCs/>
          <w:sz w:val="24"/>
          <w:szCs w:val="24"/>
        </w:rPr>
        <w:t xml:space="preserve"> В документа </w:t>
      </w:r>
      <w:proofErr w:type="spellStart"/>
      <w:r w:rsidR="008D0DD2" w:rsidRPr="001C4A98">
        <w:rPr>
          <w:bCs/>
          <w:sz w:val="24"/>
          <w:szCs w:val="24"/>
        </w:rPr>
        <w:t>Recommendation</w:t>
      </w:r>
      <w:proofErr w:type="spellEnd"/>
      <w:r w:rsidR="008D0DD2" w:rsidRPr="001C4A98">
        <w:rPr>
          <w:bCs/>
          <w:sz w:val="24"/>
          <w:szCs w:val="24"/>
        </w:rPr>
        <w:t xml:space="preserve"> CM/</w:t>
      </w:r>
      <w:proofErr w:type="spellStart"/>
      <w:r w:rsidR="008D0DD2" w:rsidRPr="001C4A98">
        <w:rPr>
          <w:bCs/>
          <w:sz w:val="24"/>
          <w:szCs w:val="24"/>
        </w:rPr>
        <w:t>Rec</w:t>
      </w:r>
      <w:proofErr w:type="spellEnd"/>
      <w:r w:rsidR="008D0DD2" w:rsidRPr="001C4A98">
        <w:rPr>
          <w:bCs/>
          <w:sz w:val="24"/>
          <w:szCs w:val="24"/>
        </w:rPr>
        <w:t xml:space="preserve">(2017)5 </w:t>
      </w:r>
      <w:proofErr w:type="spellStart"/>
      <w:r w:rsidR="008D0DD2" w:rsidRPr="001C4A98">
        <w:rPr>
          <w:bCs/>
          <w:sz w:val="24"/>
          <w:szCs w:val="24"/>
        </w:rPr>
        <w:t>of</w:t>
      </w:r>
      <w:proofErr w:type="spellEnd"/>
      <w:r w:rsidR="008D0DD2" w:rsidRPr="001C4A98">
        <w:rPr>
          <w:bCs/>
          <w:sz w:val="24"/>
          <w:szCs w:val="24"/>
        </w:rPr>
        <w:t xml:space="preserve"> </w:t>
      </w:r>
      <w:proofErr w:type="spellStart"/>
      <w:r w:rsidR="008D0DD2" w:rsidRPr="001C4A98">
        <w:rPr>
          <w:bCs/>
          <w:sz w:val="24"/>
          <w:szCs w:val="24"/>
        </w:rPr>
        <w:t>the</w:t>
      </w:r>
      <w:proofErr w:type="spellEnd"/>
      <w:r w:rsidR="008D0DD2" w:rsidRPr="001C4A98">
        <w:rPr>
          <w:bCs/>
          <w:sz w:val="24"/>
          <w:szCs w:val="24"/>
        </w:rPr>
        <w:t xml:space="preserve"> </w:t>
      </w:r>
      <w:proofErr w:type="spellStart"/>
      <w:r w:rsidR="008D0DD2" w:rsidRPr="001C4A98">
        <w:rPr>
          <w:bCs/>
          <w:sz w:val="24"/>
          <w:szCs w:val="24"/>
        </w:rPr>
        <w:lastRenderedPageBreak/>
        <w:t>Committee</w:t>
      </w:r>
      <w:proofErr w:type="spellEnd"/>
      <w:r w:rsidR="008D0DD2" w:rsidRPr="001C4A98">
        <w:rPr>
          <w:bCs/>
          <w:sz w:val="24"/>
          <w:szCs w:val="24"/>
        </w:rPr>
        <w:t xml:space="preserve"> </w:t>
      </w:r>
      <w:proofErr w:type="spellStart"/>
      <w:r w:rsidR="008D0DD2" w:rsidRPr="001C4A98">
        <w:rPr>
          <w:bCs/>
          <w:sz w:val="24"/>
          <w:szCs w:val="24"/>
        </w:rPr>
        <w:t>of</w:t>
      </w:r>
      <w:proofErr w:type="spellEnd"/>
      <w:r w:rsidR="008D0DD2" w:rsidRPr="001C4A98">
        <w:rPr>
          <w:bCs/>
          <w:sz w:val="24"/>
          <w:szCs w:val="24"/>
        </w:rPr>
        <w:t xml:space="preserve"> </w:t>
      </w:r>
      <w:proofErr w:type="spellStart"/>
      <w:r w:rsidR="008D0DD2" w:rsidRPr="001C4A98">
        <w:rPr>
          <w:bCs/>
          <w:sz w:val="24"/>
          <w:szCs w:val="24"/>
        </w:rPr>
        <w:t>Ministers</w:t>
      </w:r>
      <w:proofErr w:type="spellEnd"/>
      <w:r w:rsidR="008D0DD2" w:rsidRPr="001C4A98">
        <w:rPr>
          <w:bCs/>
          <w:sz w:val="24"/>
          <w:szCs w:val="24"/>
        </w:rPr>
        <w:t xml:space="preserve"> </w:t>
      </w:r>
      <w:proofErr w:type="spellStart"/>
      <w:r w:rsidR="008D0DD2" w:rsidRPr="001C4A98">
        <w:rPr>
          <w:bCs/>
          <w:sz w:val="24"/>
          <w:szCs w:val="24"/>
        </w:rPr>
        <w:t>to</w:t>
      </w:r>
      <w:proofErr w:type="spellEnd"/>
      <w:r w:rsidR="008D0DD2" w:rsidRPr="001C4A98">
        <w:rPr>
          <w:bCs/>
          <w:sz w:val="24"/>
          <w:szCs w:val="24"/>
        </w:rPr>
        <w:t xml:space="preserve"> </w:t>
      </w:r>
      <w:proofErr w:type="spellStart"/>
      <w:r w:rsidR="008D0DD2" w:rsidRPr="001C4A98">
        <w:rPr>
          <w:bCs/>
          <w:sz w:val="24"/>
          <w:szCs w:val="24"/>
        </w:rPr>
        <w:t>member</w:t>
      </w:r>
      <w:proofErr w:type="spellEnd"/>
      <w:r w:rsidR="008D0DD2" w:rsidRPr="001C4A98">
        <w:rPr>
          <w:bCs/>
          <w:sz w:val="24"/>
          <w:szCs w:val="24"/>
        </w:rPr>
        <w:t xml:space="preserve"> States </w:t>
      </w:r>
      <w:proofErr w:type="spellStart"/>
      <w:r w:rsidR="008D0DD2" w:rsidRPr="001C4A98">
        <w:rPr>
          <w:bCs/>
          <w:sz w:val="24"/>
          <w:szCs w:val="24"/>
        </w:rPr>
        <w:t>on</w:t>
      </w:r>
      <w:proofErr w:type="spellEnd"/>
      <w:r w:rsidR="008D0DD2" w:rsidRPr="001C4A98">
        <w:rPr>
          <w:bCs/>
          <w:sz w:val="24"/>
          <w:szCs w:val="24"/>
        </w:rPr>
        <w:t xml:space="preserve"> </w:t>
      </w:r>
      <w:proofErr w:type="spellStart"/>
      <w:r w:rsidR="008D0DD2" w:rsidRPr="001C4A98">
        <w:rPr>
          <w:bCs/>
          <w:sz w:val="24"/>
          <w:szCs w:val="24"/>
        </w:rPr>
        <w:t>standards</w:t>
      </w:r>
      <w:proofErr w:type="spellEnd"/>
      <w:r w:rsidR="008D0DD2" w:rsidRPr="001C4A98">
        <w:rPr>
          <w:bCs/>
          <w:sz w:val="24"/>
          <w:szCs w:val="24"/>
        </w:rPr>
        <w:t xml:space="preserve"> </w:t>
      </w:r>
      <w:proofErr w:type="spellStart"/>
      <w:r w:rsidR="008D0DD2" w:rsidRPr="001C4A98">
        <w:rPr>
          <w:bCs/>
          <w:sz w:val="24"/>
          <w:szCs w:val="24"/>
        </w:rPr>
        <w:t>for</w:t>
      </w:r>
      <w:proofErr w:type="spellEnd"/>
      <w:r w:rsidR="008D0DD2" w:rsidRPr="001C4A98">
        <w:rPr>
          <w:bCs/>
          <w:sz w:val="24"/>
          <w:szCs w:val="24"/>
        </w:rPr>
        <w:t xml:space="preserve"> e-</w:t>
      </w:r>
      <w:proofErr w:type="spellStart"/>
      <w:r w:rsidR="008D0DD2" w:rsidRPr="001C4A98">
        <w:rPr>
          <w:bCs/>
          <w:sz w:val="24"/>
          <w:szCs w:val="24"/>
        </w:rPr>
        <w:t>voting</w:t>
      </w:r>
      <w:proofErr w:type="spellEnd"/>
      <w:r w:rsidR="008D0DD2" w:rsidRPr="001C4A98">
        <w:rPr>
          <w:bCs/>
          <w:sz w:val="24"/>
          <w:szCs w:val="24"/>
        </w:rPr>
        <w:t xml:space="preserve"> и Насоките и Меморандума към него </w:t>
      </w:r>
      <w:r w:rsidR="007A2CFB" w:rsidRPr="001C4A98">
        <w:rPr>
          <w:bCs/>
          <w:sz w:val="24"/>
          <w:szCs w:val="24"/>
        </w:rPr>
        <w:t xml:space="preserve">е посочено, че </w:t>
      </w:r>
      <w:r w:rsidR="008D0DD2" w:rsidRPr="001C4A98">
        <w:rPr>
          <w:bCs/>
          <w:sz w:val="24"/>
          <w:szCs w:val="24"/>
        </w:rPr>
        <w:t>съответствието на системата за електронно гласуване и на всеки ИКТ компонент с техническите изисквания</w:t>
      </w:r>
      <w:r w:rsidR="007A2CFB" w:rsidRPr="001C4A98">
        <w:rPr>
          <w:bCs/>
          <w:sz w:val="24"/>
          <w:szCs w:val="24"/>
        </w:rPr>
        <w:t xml:space="preserve"> трябва да се оцени </w:t>
      </w:r>
      <w:r w:rsidR="00BA61D7">
        <w:rPr>
          <w:bCs/>
          <w:sz w:val="24"/>
          <w:szCs w:val="24"/>
        </w:rPr>
        <w:t xml:space="preserve">от </w:t>
      </w:r>
      <w:r w:rsidR="007A2CFB" w:rsidRPr="001C4A98">
        <w:rPr>
          <w:bCs/>
          <w:sz w:val="24"/>
          <w:szCs w:val="24"/>
        </w:rPr>
        <w:t xml:space="preserve">независим и компетентен орган, а схемата на удостоверяване </w:t>
      </w:r>
      <w:r w:rsidR="007A2CFB" w:rsidRPr="002A54F8">
        <w:rPr>
          <w:rStyle w:val="jlqj4b"/>
          <w:sz w:val="24"/>
          <w:szCs w:val="24"/>
        </w:rPr>
        <w:t>трябва да бъде публично достъпна и всеобхватна</w:t>
      </w:r>
      <w:r w:rsidR="007906CC">
        <w:rPr>
          <w:rStyle w:val="jlqj4b"/>
          <w:sz w:val="24"/>
          <w:szCs w:val="24"/>
        </w:rPr>
        <w:t>.</w:t>
      </w:r>
      <w:r w:rsidR="007A2CFB" w:rsidRPr="002A54F8">
        <w:rPr>
          <w:rStyle w:val="jlqj4b"/>
          <w:sz w:val="24"/>
          <w:szCs w:val="24"/>
        </w:rPr>
        <w:t xml:space="preserve"> </w:t>
      </w:r>
    </w:p>
    <w:p w14:paraId="2ED46B24" w14:textId="57F09050" w:rsidR="006308A4" w:rsidRPr="001C4A98" w:rsidRDefault="00BF5C98" w:rsidP="006308A4">
      <w:pPr>
        <w:pStyle w:val="CommentText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 </w:t>
      </w:r>
      <w:r w:rsidR="006308A4" w:rsidRPr="001C4A98">
        <w:rPr>
          <w:bCs/>
          <w:sz w:val="24"/>
          <w:szCs w:val="24"/>
        </w:rPr>
        <w:t>Държавна агенция „Електронно управление“</w:t>
      </w:r>
      <w:r w:rsidR="00A51112" w:rsidRPr="001C4A98">
        <w:rPr>
          <w:bCs/>
          <w:sz w:val="24"/>
          <w:szCs w:val="24"/>
        </w:rPr>
        <w:t xml:space="preserve"> (ДАЕУ)</w:t>
      </w:r>
      <w:r w:rsidR="006308A4" w:rsidRPr="001C4A98">
        <w:rPr>
          <w:bCs/>
          <w:sz w:val="24"/>
          <w:szCs w:val="24"/>
        </w:rPr>
        <w:t xml:space="preserve">, съвместно с Българския институт по метрология (БИМ) и Българския институт </w:t>
      </w:r>
      <w:r w:rsidR="005E7797" w:rsidRPr="001C4A98">
        <w:rPr>
          <w:bCs/>
          <w:sz w:val="24"/>
          <w:szCs w:val="24"/>
        </w:rPr>
        <w:t>за</w:t>
      </w:r>
      <w:r w:rsidR="006308A4" w:rsidRPr="001C4A98">
        <w:rPr>
          <w:bCs/>
          <w:sz w:val="24"/>
          <w:szCs w:val="24"/>
        </w:rPr>
        <w:t xml:space="preserve"> стандартизация </w:t>
      </w:r>
      <w:r w:rsidR="00A51112" w:rsidRPr="001C4A98">
        <w:rPr>
          <w:bCs/>
          <w:sz w:val="24"/>
          <w:szCs w:val="24"/>
        </w:rPr>
        <w:t xml:space="preserve">(БИС) </w:t>
      </w:r>
      <w:r w:rsidR="006308A4" w:rsidRPr="001C4A98">
        <w:rPr>
          <w:bCs/>
          <w:sz w:val="24"/>
          <w:szCs w:val="24"/>
        </w:rPr>
        <w:t xml:space="preserve">не </w:t>
      </w:r>
      <w:r w:rsidRPr="001C4A98">
        <w:rPr>
          <w:bCs/>
          <w:sz w:val="24"/>
          <w:szCs w:val="24"/>
        </w:rPr>
        <w:t>са</w:t>
      </w:r>
      <w:r w:rsidR="00A91504">
        <w:rPr>
          <w:bCs/>
          <w:sz w:val="24"/>
          <w:szCs w:val="24"/>
        </w:rPr>
        <w:t xml:space="preserve"> </w:t>
      </w:r>
      <w:r w:rsidR="00E844D1">
        <w:rPr>
          <w:bCs/>
          <w:sz w:val="24"/>
          <w:szCs w:val="24"/>
        </w:rPr>
        <w:t>акредитирани</w:t>
      </w:r>
      <w:r w:rsidR="006308A4" w:rsidRPr="001C4A98">
        <w:rPr>
          <w:bCs/>
          <w:sz w:val="24"/>
          <w:szCs w:val="24"/>
        </w:rPr>
        <w:t xml:space="preserve"> органи </w:t>
      </w:r>
      <w:r w:rsidR="009642E3" w:rsidRPr="001C4A98">
        <w:rPr>
          <w:bCs/>
          <w:sz w:val="24"/>
          <w:szCs w:val="24"/>
        </w:rPr>
        <w:t>за сертификация на продукти</w:t>
      </w:r>
      <w:r w:rsidR="00914F93">
        <w:rPr>
          <w:bCs/>
          <w:sz w:val="24"/>
          <w:szCs w:val="24"/>
        </w:rPr>
        <w:t>, услуги и процеси</w:t>
      </w:r>
      <w:r w:rsidR="009642E3" w:rsidRPr="001C4A98">
        <w:rPr>
          <w:bCs/>
          <w:sz w:val="24"/>
          <w:szCs w:val="24"/>
        </w:rPr>
        <w:t xml:space="preserve"> </w:t>
      </w:r>
      <w:r w:rsidR="006308A4" w:rsidRPr="001C4A98">
        <w:rPr>
          <w:bCs/>
          <w:sz w:val="24"/>
          <w:szCs w:val="24"/>
        </w:rPr>
        <w:t xml:space="preserve">по смисъла на </w:t>
      </w:r>
      <w:r w:rsidR="001A2707" w:rsidRPr="001C4A98">
        <w:rPr>
          <w:bCs/>
          <w:sz w:val="24"/>
          <w:szCs w:val="24"/>
        </w:rPr>
        <w:t>БДС EN ISO/IEC 1706</w:t>
      </w:r>
      <w:r w:rsidR="00B92ECB" w:rsidRPr="001C4A98">
        <w:rPr>
          <w:bCs/>
          <w:sz w:val="24"/>
          <w:szCs w:val="24"/>
        </w:rPr>
        <w:t>5</w:t>
      </w:r>
      <w:r w:rsidR="006308A4" w:rsidRPr="001C4A98">
        <w:rPr>
          <w:bCs/>
          <w:sz w:val="24"/>
          <w:szCs w:val="24"/>
        </w:rPr>
        <w:t xml:space="preserve">, </w:t>
      </w:r>
      <w:r w:rsidR="001A2707" w:rsidRPr="001C4A98">
        <w:rPr>
          <w:bCs/>
          <w:sz w:val="24"/>
          <w:szCs w:val="24"/>
        </w:rPr>
        <w:t xml:space="preserve">а осъществяват дейността по удостоверяване на </w:t>
      </w:r>
      <w:r w:rsidR="0041660F" w:rsidRPr="001C4A98">
        <w:rPr>
          <w:bCs/>
          <w:sz w:val="24"/>
          <w:szCs w:val="24"/>
        </w:rPr>
        <w:t xml:space="preserve">съответствието на </w:t>
      </w:r>
      <w:r w:rsidR="005E7797" w:rsidRPr="001C4A98">
        <w:rPr>
          <w:bCs/>
          <w:sz w:val="24"/>
          <w:szCs w:val="24"/>
        </w:rPr>
        <w:t xml:space="preserve">типа </w:t>
      </w:r>
      <w:r w:rsidR="00DC3ECF" w:rsidRPr="001C4A98">
        <w:rPr>
          <w:bCs/>
          <w:sz w:val="24"/>
          <w:szCs w:val="24"/>
        </w:rPr>
        <w:t>техническо устройство за машинно гласуване</w:t>
      </w:r>
      <w:r w:rsidR="0041660F" w:rsidRPr="001C4A98">
        <w:rPr>
          <w:bCs/>
          <w:sz w:val="24"/>
          <w:szCs w:val="24"/>
        </w:rPr>
        <w:t xml:space="preserve"> на основание изричното им оправомощаване </w:t>
      </w:r>
      <w:r w:rsidR="006308A4" w:rsidRPr="001C4A98">
        <w:rPr>
          <w:bCs/>
          <w:sz w:val="24"/>
          <w:szCs w:val="24"/>
        </w:rPr>
        <w:t>с нормативен акт</w:t>
      </w:r>
      <w:r w:rsidR="0041660F" w:rsidRPr="001C4A98">
        <w:rPr>
          <w:bCs/>
          <w:sz w:val="24"/>
          <w:szCs w:val="24"/>
        </w:rPr>
        <w:t xml:space="preserve"> - Изборния кодекс</w:t>
      </w:r>
      <w:r w:rsidR="002E1F47">
        <w:rPr>
          <w:bCs/>
          <w:sz w:val="24"/>
          <w:szCs w:val="24"/>
        </w:rPr>
        <w:t xml:space="preserve"> </w:t>
      </w:r>
      <w:r w:rsidR="0041660F" w:rsidRPr="001C4A98">
        <w:rPr>
          <w:bCs/>
          <w:sz w:val="24"/>
          <w:szCs w:val="24"/>
        </w:rPr>
        <w:t xml:space="preserve">и на базата на настоящата </w:t>
      </w:r>
      <w:r w:rsidR="00A51112" w:rsidRPr="001C4A98">
        <w:rPr>
          <w:bCs/>
          <w:sz w:val="24"/>
          <w:szCs w:val="24"/>
        </w:rPr>
        <w:t>Методика</w:t>
      </w:r>
      <w:r w:rsidR="0041660F" w:rsidRPr="001C4A98">
        <w:rPr>
          <w:bCs/>
          <w:sz w:val="24"/>
          <w:szCs w:val="24"/>
        </w:rPr>
        <w:t xml:space="preserve">. </w:t>
      </w:r>
    </w:p>
    <w:p w14:paraId="7D61C647" w14:textId="0759C143" w:rsidR="00236D99" w:rsidRPr="001C4A98" w:rsidRDefault="00236D99" w:rsidP="006308A4">
      <w:pPr>
        <w:pStyle w:val="CommentText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При разработването на </w:t>
      </w:r>
      <w:r w:rsidR="00A51112" w:rsidRPr="001C4A98">
        <w:rPr>
          <w:bCs/>
          <w:sz w:val="24"/>
          <w:szCs w:val="24"/>
        </w:rPr>
        <w:t xml:space="preserve">Методиката </w:t>
      </w:r>
      <w:r w:rsidRPr="001C4A98">
        <w:rPr>
          <w:bCs/>
          <w:sz w:val="24"/>
          <w:szCs w:val="24"/>
        </w:rPr>
        <w:t>са взети предвид основните принципи на сертификацията на продукти и указанията за схеми за сертификация на продукти, посочени в БДС EN ISO/IEC 17067</w:t>
      </w:r>
      <w:r w:rsidR="007A2CFB" w:rsidRPr="001C4A98">
        <w:rPr>
          <w:bCs/>
          <w:sz w:val="24"/>
          <w:szCs w:val="24"/>
        </w:rPr>
        <w:t xml:space="preserve">, както и тези, посочени в </w:t>
      </w:r>
      <w:proofErr w:type="spellStart"/>
      <w:r w:rsidR="007A2CFB" w:rsidRPr="001C4A98">
        <w:rPr>
          <w:bCs/>
          <w:sz w:val="24"/>
          <w:szCs w:val="24"/>
        </w:rPr>
        <w:t>Recommendation</w:t>
      </w:r>
      <w:proofErr w:type="spellEnd"/>
      <w:r w:rsidR="007A2CFB" w:rsidRPr="001C4A98">
        <w:rPr>
          <w:bCs/>
          <w:sz w:val="24"/>
          <w:szCs w:val="24"/>
        </w:rPr>
        <w:t xml:space="preserve"> CM/</w:t>
      </w:r>
      <w:proofErr w:type="spellStart"/>
      <w:r w:rsidR="007A2CFB" w:rsidRPr="001C4A98">
        <w:rPr>
          <w:bCs/>
          <w:sz w:val="24"/>
          <w:szCs w:val="24"/>
        </w:rPr>
        <w:t>Rec</w:t>
      </w:r>
      <w:proofErr w:type="spellEnd"/>
      <w:r w:rsidR="007A2CFB" w:rsidRPr="001C4A98">
        <w:rPr>
          <w:bCs/>
          <w:sz w:val="24"/>
          <w:szCs w:val="24"/>
        </w:rPr>
        <w:t>(2017)5</w:t>
      </w:r>
      <w:r w:rsidRPr="001C4A98">
        <w:rPr>
          <w:bCs/>
          <w:sz w:val="24"/>
          <w:szCs w:val="24"/>
        </w:rPr>
        <w:t xml:space="preserve">. Избраната схема за сертификация, която </w:t>
      </w:r>
      <w:r w:rsidR="007A2CFB" w:rsidRPr="001C4A98">
        <w:rPr>
          <w:bCs/>
          <w:sz w:val="24"/>
          <w:szCs w:val="24"/>
        </w:rPr>
        <w:t xml:space="preserve">служи като основа за </w:t>
      </w:r>
      <w:r w:rsidRPr="001C4A98">
        <w:rPr>
          <w:bCs/>
          <w:sz w:val="24"/>
          <w:szCs w:val="24"/>
        </w:rPr>
        <w:t>разработ</w:t>
      </w:r>
      <w:r w:rsidR="007A2CFB" w:rsidRPr="001C4A98">
        <w:rPr>
          <w:bCs/>
          <w:sz w:val="24"/>
          <w:szCs w:val="24"/>
        </w:rPr>
        <w:t>ване на настоящата</w:t>
      </w:r>
      <w:r w:rsidRPr="001C4A98">
        <w:rPr>
          <w:bCs/>
          <w:sz w:val="24"/>
          <w:szCs w:val="24"/>
        </w:rPr>
        <w:t xml:space="preserve"> </w:t>
      </w:r>
      <w:r w:rsidR="00AC786B" w:rsidRPr="001C4A98">
        <w:rPr>
          <w:bCs/>
          <w:sz w:val="24"/>
          <w:szCs w:val="24"/>
        </w:rPr>
        <w:t>Методика</w:t>
      </w:r>
      <w:r w:rsidRPr="001C4A98">
        <w:rPr>
          <w:bCs/>
          <w:sz w:val="24"/>
          <w:szCs w:val="24"/>
        </w:rPr>
        <w:t xml:space="preserve">, не е приложена изцяло </w:t>
      </w:r>
      <w:r w:rsidR="00EB67EA">
        <w:rPr>
          <w:bCs/>
          <w:sz w:val="24"/>
          <w:szCs w:val="24"/>
        </w:rPr>
        <w:t xml:space="preserve">предвид спецификата на изискванията в </w:t>
      </w:r>
      <w:r w:rsidRPr="001C4A98">
        <w:rPr>
          <w:bCs/>
          <w:sz w:val="24"/>
          <w:szCs w:val="24"/>
        </w:rPr>
        <w:t xml:space="preserve">посочените по-горе </w:t>
      </w:r>
      <w:r w:rsidR="00EB67EA">
        <w:rPr>
          <w:bCs/>
          <w:sz w:val="24"/>
          <w:szCs w:val="24"/>
        </w:rPr>
        <w:t>документи</w:t>
      </w:r>
      <w:r w:rsidRPr="001C4A98">
        <w:rPr>
          <w:bCs/>
          <w:sz w:val="24"/>
          <w:szCs w:val="24"/>
        </w:rPr>
        <w:t>.</w:t>
      </w:r>
    </w:p>
    <w:p w14:paraId="54FB440D" w14:textId="3A84A793" w:rsidR="00A22083" w:rsidRPr="001C4A98" w:rsidRDefault="00C23FBB" w:rsidP="00AF0DE7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>Оценяването на съответствието включва</w:t>
      </w:r>
      <w:r w:rsidR="00B96EE6" w:rsidRPr="001C4A98">
        <w:rPr>
          <w:bCs/>
          <w:sz w:val="24"/>
          <w:szCs w:val="24"/>
        </w:rPr>
        <w:t xml:space="preserve"> </w:t>
      </w:r>
      <w:r w:rsidR="00D842F0" w:rsidRPr="001C4A98">
        <w:rPr>
          <w:bCs/>
          <w:sz w:val="24"/>
          <w:szCs w:val="24"/>
        </w:rPr>
        <w:t xml:space="preserve">методи и процедури за </w:t>
      </w:r>
      <w:r w:rsidR="007538C2" w:rsidRPr="001C4A98">
        <w:rPr>
          <w:bCs/>
          <w:sz w:val="24"/>
          <w:szCs w:val="24"/>
        </w:rPr>
        <w:t xml:space="preserve">проверка на валидността </w:t>
      </w:r>
      <w:r w:rsidR="00D21A7C" w:rsidRPr="001C4A98">
        <w:rPr>
          <w:bCs/>
          <w:sz w:val="24"/>
          <w:szCs w:val="24"/>
        </w:rPr>
        <w:t xml:space="preserve">и автентичността </w:t>
      </w:r>
      <w:r w:rsidR="007538C2" w:rsidRPr="001C4A98">
        <w:rPr>
          <w:bCs/>
          <w:sz w:val="24"/>
          <w:szCs w:val="24"/>
        </w:rPr>
        <w:t>на документи</w:t>
      </w:r>
      <w:r w:rsidR="007A2CFB" w:rsidRPr="001C4A98">
        <w:rPr>
          <w:bCs/>
          <w:sz w:val="24"/>
          <w:szCs w:val="24"/>
        </w:rPr>
        <w:t>те</w:t>
      </w:r>
      <w:r w:rsidR="00A51112" w:rsidRPr="001C4A98">
        <w:rPr>
          <w:bCs/>
          <w:sz w:val="24"/>
          <w:szCs w:val="24"/>
        </w:rPr>
        <w:t xml:space="preserve"> за съответствие</w:t>
      </w:r>
      <w:r w:rsidR="007538C2" w:rsidRPr="001C4A98">
        <w:rPr>
          <w:bCs/>
          <w:sz w:val="24"/>
          <w:szCs w:val="24"/>
        </w:rPr>
        <w:t xml:space="preserve">, издадени </w:t>
      </w:r>
      <w:r w:rsidR="005F1DF6" w:rsidRPr="001C4A98">
        <w:rPr>
          <w:bCs/>
          <w:sz w:val="24"/>
          <w:szCs w:val="24"/>
        </w:rPr>
        <w:t>от</w:t>
      </w:r>
      <w:r w:rsidR="007538C2" w:rsidRPr="001C4A98">
        <w:rPr>
          <w:bCs/>
          <w:sz w:val="24"/>
          <w:szCs w:val="24"/>
        </w:rPr>
        <w:t xml:space="preserve"> трета </w:t>
      </w:r>
      <w:r w:rsidR="00EA0A76" w:rsidRPr="001C4A98">
        <w:rPr>
          <w:bCs/>
          <w:sz w:val="24"/>
          <w:szCs w:val="24"/>
        </w:rPr>
        <w:t xml:space="preserve">независима </w:t>
      </w:r>
      <w:r w:rsidR="007538C2" w:rsidRPr="001C4A98">
        <w:rPr>
          <w:bCs/>
          <w:sz w:val="24"/>
          <w:szCs w:val="24"/>
        </w:rPr>
        <w:t>страна (</w:t>
      </w:r>
      <w:r w:rsidR="00B96EE6" w:rsidRPr="001C4A98">
        <w:rPr>
          <w:bCs/>
          <w:sz w:val="24"/>
          <w:szCs w:val="24"/>
        </w:rPr>
        <w:t>сертификати</w:t>
      </w:r>
      <w:r w:rsidR="007538C2" w:rsidRPr="001C4A98">
        <w:rPr>
          <w:bCs/>
          <w:sz w:val="24"/>
          <w:szCs w:val="24"/>
        </w:rPr>
        <w:t xml:space="preserve">, доклади и </w:t>
      </w:r>
      <w:r w:rsidR="00A33E54" w:rsidRPr="001C4A98">
        <w:rPr>
          <w:bCs/>
          <w:sz w:val="24"/>
          <w:szCs w:val="24"/>
        </w:rPr>
        <w:t>др</w:t>
      </w:r>
      <w:r w:rsidR="00EC4195" w:rsidRPr="001C4A98">
        <w:rPr>
          <w:bCs/>
          <w:sz w:val="24"/>
          <w:szCs w:val="24"/>
        </w:rPr>
        <w:t>.</w:t>
      </w:r>
      <w:r w:rsidR="007538C2" w:rsidRPr="001C4A98">
        <w:rPr>
          <w:bCs/>
          <w:sz w:val="24"/>
          <w:szCs w:val="24"/>
        </w:rPr>
        <w:t>)</w:t>
      </w:r>
      <w:r w:rsidR="005074E3" w:rsidRPr="001C4A98">
        <w:rPr>
          <w:bCs/>
          <w:sz w:val="24"/>
          <w:szCs w:val="24"/>
        </w:rPr>
        <w:t xml:space="preserve">, </w:t>
      </w:r>
      <w:r w:rsidR="008F7591" w:rsidRPr="001C4A98">
        <w:rPr>
          <w:bCs/>
          <w:sz w:val="24"/>
          <w:szCs w:val="24"/>
        </w:rPr>
        <w:t xml:space="preserve">техническо изследване на </w:t>
      </w:r>
      <w:r w:rsidR="00275EB4" w:rsidRPr="001C4A98">
        <w:rPr>
          <w:bCs/>
          <w:sz w:val="24"/>
          <w:szCs w:val="24"/>
        </w:rPr>
        <w:t xml:space="preserve">доставения </w:t>
      </w:r>
      <w:r w:rsidR="008F7591" w:rsidRPr="001C4A98">
        <w:rPr>
          <w:bCs/>
          <w:sz w:val="24"/>
          <w:szCs w:val="24"/>
        </w:rPr>
        <w:t>тип</w:t>
      </w:r>
      <w:r w:rsidR="001B6876" w:rsidRPr="001C4A98">
        <w:rPr>
          <w:bCs/>
          <w:sz w:val="24"/>
          <w:szCs w:val="24"/>
        </w:rPr>
        <w:t xml:space="preserve"> </w:t>
      </w:r>
      <w:r w:rsidR="00AF61CC" w:rsidRPr="001C4A98">
        <w:rPr>
          <w:bCs/>
          <w:sz w:val="24"/>
          <w:szCs w:val="24"/>
        </w:rPr>
        <w:t xml:space="preserve">техническо </w:t>
      </w:r>
      <w:r w:rsidR="001B6876" w:rsidRPr="001C4A98">
        <w:rPr>
          <w:bCs/>
          <w:sz w:val="24"/>
          <w:szCs w:val="24"/>
        </w:rPr>
        <w:t>устройство</w:t>
      </w:r>
      <w:r w:rsidR="00EA0A76" w:rsidRPr="001C4A98">
        <w:rPr>
          <w:bCs/>
          <w:sz w:val="24"/>
          <w:szCs w:val="24"/>
        </w:rPr>
        <w:t xml:space="preserve"> за машинно гласуване</w:t>
      </w:r>
      <w:r w:rsidR="009D52BD" w:rsidRPr="001C4A98">
        <w:rPr>
          <w:bCs/>
          <w:sz w:val="24"/>
          <w:szCs w:val="24"/>
        </w:rPr>
        <w:t xml:space="preserve">, </w:t>
      </w:r>
      <w:r w:rsidR="003F6995" w:rsidRPr="001C4A98">
        <w:rPr>
          <w:bCs/>
          <w:sz w:val="24"/>
          <w:szCs w:val="24"/>
        </w:rPr>
        <w:t xml:space="preserve">тестови сценарии за проверка на функционалността на системния и </w:t>
      </w:r>
      <w:r w:rsidR="000D1CDC">
        <w:rPr>
          <w:bCs/>
          <w:sz w:val="24"/>
          <w:szCs w:val="24"/>
        </w:rPr>
        <w:t>приложния</w:t>
      </w:r>
      <w:r w:rsidR="003F6995" w:rsidRPr="001C4A98">
        <w:rPr>
          <w:bCs/>
          <w:sz w:val="24"/>
          <w:szCs w:val="24"/>
        </w:rPr>
        <w:t xml:space="preserve"> софтуер </w:t>
      </w:r>
      <w:r w:rsidR="00F16A77" w:rsidRPr="001C4A98">
        <w:rPr>
          <w:bCs/>
          <w:sz w:val="24"/>
          <w:szCs w:val="24"/>
        </w:rPr>
        <w:t xml:space="preserve">и проверка </w:t>
      </w:r>
      <w:r w:rsidR="009D52BD" w:rsidRPr="001C4A98">
        <w:rPr>
          <w:bCs/>
          <w:sz w:val="24"/>
          <w:szCs w:val="24"/>
        </w:rPr>
        <w:t xml:space="preserve">на сигурността </w:t>
      </w:r>
      <w:r w:rsidR="00B96EE6" w:rsidRPr="001C4A98">
        <w:rPr>
          <w:bCs/>
          <w:sz w:val="24"/>
          <w:szCs w:val="24"/>
        </w:rPr>
        <w:t xml:space="preserve">на апаратните и програмните средства, предназначени за </w:t>
      </w:r>
      <w:r w:rsidR="00A33E54" w:rsidRPr="001C4A98">
        <w:rPr>
          <w:bCs/>
          <w:sz w:val="24"/>
          <w:szCs w:val="24"/>
        </w:rPr>
        <w:t xml:space="preserve">обезпечаване на </w:t>
      </w:r>
      <w:r w:rsidR="00B96EE6" w:rsidRPr="001C4A98">
        <w:rPr>
          <w:bCs/>
          <w:sz w:val="24"/>
          <w:szCs w:val="24"/>
        </w:rPr>
        <w:t>машинно</w:t>
      </w:r>
      <w:r w:rsidR="007F44D7" w:rsidRPr="001C4A98">
        <w:rPr>
          <w:bCs/>
          <w:sz w:val="24"/>
          <w:szCs w:val="24"/>
        </w:rPr>
        <w:t>то</w:t>
      </w:r>
      <w:r w:rsidR="00B96EE6" w:rsidRPr="001C4A98">
        <w:rPr>
          <w:bCs/>
          <w:sz w:val="24"/>
          <w:szCs w:val="24"/>
        </w:rPr>
        <w:t xml:space="preserve"> гласуване</w:t>
      </w:r>
      <w:r w:rsidR="009C6C73" w:rsidRPr="001C4A98">
        <w:rPr>
          <w:bCs/>
          <w:sz w:val="24"/>
          <w:szCs w:val="24"/>
        </w:rPr>
        <w:t xml:space="preserve"> </w:t>
      </w:r>
      <w:r w:rsidR="00E73785" w:rsidRPr="001C4A98">
        <w:rPr>
          <w:bCs/>
          <w:sz w:val="24"/>
          <w:szCs w:val="24"/>
        </w:rPr>
        <w:t xml:space="preserve">в </w:t>
      </w:r>
      <w:r w:rsidR="001B6876" w:rsidRPr="001C4A98">
        <w:rPr>
          <w:bCs/>
          <w:sz w:val="24"/>
          <w:szCs w:val="24"/>
        </w:rPr>
        <w:t>избирателните секции</w:t>
      </w:r>
      <w:r w:rsidR="00B96EE6" w:rsidRPr="001C4A98">
        <w:rPr>
          <w:bCs/>
          <w:sz w:val="24"/>
          <w:szCs w:val="24"/>
        </w:rPr>
        <w:t xml:space="preserve">. </w:t>
      </w:r>
    </w:p>
    <w:p w14:paraId="759B6EA2" w14:textId="078DAC8D" w:rsidR="00B96EE6" w:rsidRPr="001C4A98" w:rsidRDefault="00D63A92" w:rsidP="00AF0DE7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>Методите и процедурите</w:t>
      </w:r>
      <w:r w:rsidR="00F13184" w:rsidRPr="001C4A98">
        <w:rPr>
          <w:bCs/>
          <w:sz w:val="24"/>
          <w:szCs w:val="24"/>
        </w:rPr>
        <w:t xml:space="preserve">, в резултат на които се удостоверява </w:t>
      </w:r>
      <w:r w:rsidR="008F5339" w:rsidRPr="001C4A98">
        <w:rPr>
          <w:bCs/>
          <w:sz w:val="24"/>
          <w:szCs w:val="24"/>
        </w:rPr>
        <w:t>съответствието</w:t>
      </w:r>
      <w:r w:rsidR="00F13184" w:rsidRPr="001C4A98">
        <w:rPr>
          <w:bCs/>
          <w:sz w:val="24"/>
          <w:szCs w:val="24"/>
        </w:rPr>
        <w:t>,</w:t>
      </w:r>
      <w:r w:rsidRPr="001C4A98">
        <w:rPr>
          <w:bCs/>
          <w:sz w:val="24"/>
          <w:szCs w:val="24"/>
        </w:rPr>
        <w:t xml:space="preserve"> са подробно описани в</w:t>
      </w:r>
      <w:r w:rsidR="00B64FBA" w:rsidRPr="001C4A98">
        <w:rPr>
          <w:bCs/>
          <w:sz w:val="24"/>
          <w:szCs w:val="24"/>
        </w:rPr>
        <w:t xml:space="preserve"> </w:t>
      </w:r>
      <w:r w:rsidR="007F44D7" w:rsidRPr="001C4A98">
        <w:rPr>
          <w:bCs/>
          <w:sz w:val="24"/>
          <w:szCs w:val="24"/>
        </w:rPr>
        <w:t>приложение №</w:t>
      </w:r>
      <w:r w:rsidR="003D22AB" w:rsidRPr="001C4A98">
        <w:rPr>
          <w:bCs/>
          <w:sz w:val="24"/>
          <w:szCs w:val="24"/>
        </w:rPr>
        <w:t xml:space="preserve"> </w:t>
      </w:r>
      <w:r w:rsidR="00B64FBA" w:rsidRPr="001C4A98">
        <w:rPr>
          <w:bCs/>
          <w:sz w:val="24"/>
          <w:szCs w:val="24"/>
        </w:rPr>
        <w:t>1</w:t>
      </w:r>
      <w:r w:rsidR="007F44D7" w:rsidRPr="001C4A98">
        <w:rPr>
          <w:bCs/>
          <w:sz w:val="24"/>
          <w:szCs w:val="24"/>
        </w:rPr>
        <w:t>,</w:t>
      </w:r>
      <w:r w:rsidR="00B64FBA" w:rsidRPr="001C4A98">
        <w:rPr>
          <w:bCs/>
          <w:sz w:val="24"/>
          <w:szCs w:val="24"/>
        </w:rPr>
        <w:t xml:space="preserve"> </w:t>
      </w:r>
      <w:r w:rsidR="007F44D7" w:rsidRPr="001C4A98">
        <w:rPr>
          <w:bCs/>
          <w:sz w:val="24"/>
          <w:szCs w:val="24"/>
        </w:rPr>
        <w:t>№</w:t>
      </w:r>
      <w:r w:rsidR="003D22AB" w:rsidRPr="001C4A98">
        <w:rPr>
          <w:bCs/>
          <w:sz w:val="24"/>
          <w:szCs w:val="24"/>
        </w:rPr>
        <w:t xml:space="preserve"> </w:t>
      </w:r>
      <w:r w:rsidR="00B64FBA" w:rsidRPr="001C4A98">
        <w:rPr>
          <w:bCs/>
          <w:sz w:val="24"/>
          <w:szCs w:val="24"/>
        </w:rPr>
        <w:t>2</w:t>
      </w:r>
      <w:r w:rsidR="007F44D7" w:rsidRPr="001C4A98">
        <w:rPr>
          <w:bCs/>
          <w:sz w:val="24"/>
          <w:szCs w:val="24"/>
        </w:rPr>
        <w:t>,</w:t>
      </w:r>
      <w:r w:rsidR="00B64FBA" w:rsidRPr="001C4A98">
        <w:rPr>
          <w:bCs/>
          <w:sz w:val="24"/>
          <w:szCs w:val="24"/>
        </w:rPr>
        <w:t xml:space="preserve"> </w:t>
      </w:r>
      <w:r w:rsidR="007F44D7" w:rsidRPr="001C4A98">
        <w:rPr>
          <w:bCs/>
          <w:sz w:val="24"/>
          <w:szCs w:val="24"/>
        </w:rPr>
        <w:t>№</w:t>
      </w:r>
      <w:r w:rsidR="003D22AB" w:rsidRPr="001C4A98">
        <w:rPr>
          <w:bCs/>
          <w:sz w:val="24"/>
          <w:szCs w:val="24"/>
        </w:rPr>
        <w:t xml:space="preserve"> </w:t>
      </w:r>
      <w:r w:rsidR="00B64FBA" w:rsidRPr="001C4A98">
        <w:rPr>
          <w:bCs/>
          <w:sz w:val="24"/>
          <w:szCs w:val="24"/>
        </w:rPr>
        <w:t xml:space="preserve">3 и </w:t>
      </w:r>
      <w:r w:rsidR="007F44D7" w:rsidRPr="001C4A98">
        <w:rPr>
          <w:bCs/>
          <w:sz w:val="24"/>
          <w:szCs w:val="24"/>
        </w:rPr>
        <w:t>№</w:t>
      </w:r>
      <w:r w:rsidR="003D22AB" w:rsidRPr="001C4A98">
        <w:rPr>
          <w:bCs/>
          <w:sz w:val="24"/>
          <w:szCs w:val="24"/>
        </w:rPr>
        <w:t xml:space="preserve"> </w:t>
      </w:r>
      <w:r w:rsidR="00B64FBA" w:rsidRPr="001C4A98">
        <w:rPr>
          <w:bCs/>
          <w:sz w:val="24"/>
          <w:szCs w:val="24"/>
        </w:rPr>
        <w:t>4</w:t>
      </w:r>
      <w:r w:rsidRPr="001C4A98">
        <w:rPr>
          <w:bCs/>
          <w:sz w:val="24"/>
          <w:szCs w:val="24"/>
        </w:rPr>
        <w:t xml:space="preserve"> към настоящата </w:t>
      </w:r>
      <w:r w:rsidR="00A51112" w:rsidRPr="001C4A98">
        <w:rPr>
          <w:bCs/>
          <w:sz w:val="24"/>
          <w:szCs w:val="24"/>
        </w:rPr>
        <w:t>Методика</w:t>
      </w:r>
      <w:r w:rsidRPr="001C4A98">
        <w:rPr>
          <w:bCs/>
          <w:sz w:val="24"/>
          <w:szCs w:val="24"/>
        </w:rPr>
        <w:t xml:space="preserve">. </w:t>
      </w:r>
    </w:p>
    <w:p w14:paraId="66F0352F" w14:textId="36A430BC" w:rsidR="00B96EE6" w:rsidRPr="001C4A98" w:rsidRDefault="00B96EE6" w:rsidP="00E73785">
      <w:pPr>
        <w:numPr>
          <w:ilvl w:val="0"/>
          <w:numId w:val="1"/>
        </w:numPr>
        <w:spacing w:before="360" w:after="240" w:line="240" w:lineRule="auto"/>
        <w:ind w:left="648"/>
        <w:jc w:val="both"/>
        <w:rPr>
          <w:b/>
          <w:bCs/>
          <w:sz w:val="26"/>
          <w:szCs w:val="26"/>
        </w:rPr>
      </w:pPr>
      <w:r w:rsidRPr="001C4A98">
        <w:rPr>
          <w:b/>
          <w:bCs/>
          <w:sz w:val="26"/>
          <w:szCs w:val="26"/>
        </w:rPr>
        <w:t xml:space="preserve">Нормативни </w:t>
      </w:r>
      <w:r w:rsidR="00352BED" w:rsidRPr="001C4A98">
        <w:rPr>
          <w:b/>
          <w:bCs/>
          <w:sz w:val="26"/>
          <w:szCs w:val="26"/>
        </w:rPr>
        <w:t>основания</w:t>
      </w:r>
      <w:r w:rsidR="00FF20DF" w:rsidRPr="001C4A98">
        <w:rPr>
          <w:b/>
          <w:bCs/>
          <w:sz w:val="26"/>
          <w:szCs w:val="26"/>
        </w:rPr>
        <w:t xml:space="preserve"> и обхват</w:t>
      </w:r>
    </w:p>
    <w:p w14:paraId="0C2AE65C" w14:textId="0DB2C25C" w:rsidR="00124B91" w:rsidRDefault="00330BA4" w:rsidP="00D1368E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>У</w:t>
      </w:r>
      <w:r w:rsidR="00F01A77" w:rsidRPr="001C4A98">
        <w:rPr>
          <w:bCs/>
          <w:sz w:val="24"/>
          <w:szCs w:val="24"/>
        </w:rPr>
        <w:t>достоверяването на</w:t>
      </w:r>
      <w:r w:rsidR="00B96EE6" w:rsidRPr="001C4A98">
        <w:rPr>
          <w:bCs/>
          <w:sz w:val="24"/>
          <w:szCs w:val="24"/>
        </w:rPr>
        <w:t xml:space="preserve"> съответствие</w:t>
      </w:r>
      <w:r w:rsidR="00F16A77" w:rsidRPr="001C4A98">
        <w:rPr>
          <w:bCs/>
          <w:sz w:val="24"/>
          <w:szCs w:val="24"/>
        </w:rPr>
        <w:t>то</w:t>
      </w:r>
      <w:r w:rsidR="007C4439" w:rsidRPr="001C4A98">
        <w:rPr>
          <w:bCs/>
          <w:sz w:val="24"/>
          <w:szCs w:val="24"/>
        </w:rPr>
        <w:t xml:space="preserve"> се осъществява</w:t>
      </w:r>
      <w:r w:rsidR="00B96EE6" w:rsidRPr="001C4A98">
        <w:rPr>
          <w:bCs/>
          <w:sz w:val="24"/>
          <w:szCs w:val="24"/>
        </w:rPr>
        <w:t xml:space="preserve"> </w:t>
      </w:r>
      <w:r w:rsidR="003D22AB" w:rsidRPr="001C4A98">
        <w:rPr>
          <w:bCs/>
          <w:sz w:val="24"/>
          <w:szCs w:val="24"/>
        </w:rPr>
        <w:t xml:space="preserve">на основание </w:t>
      </w:r>
      <w:r w:rsidR="00511901" w:rsidRPr="001C4A98">
        <w:rPr>
          <w:bCs/>
          <w:sz w:val="24"/>
          <w:szCs w:val="24"/>
        </w:rPr>
        <w:t xml:space="preserve">чл.213а, </w:t>
      </w:r>
      <w:r w:rsidR="007F44D7" w:rsidRPr="001C4A98">
        <w:rPr>
          <w:bCs/>
          <w:sz w:val="24"/>
          <w:szCs w:val="24"/>
        </w:rPr>
        <w:t>ал.2</w:t>
      </w:r>
      <w:r w:rsidR="003C4618" w:rsidRPr="001C4A98">
        <w:rPr>
          <w:bCs/>
          <w:sz w:val="24"/>
          <w:szCs w:val="24"/>
        </w:rPr>
        <w:t xml:space="preserve"> </w:t>
      </w:r>
      <w:r w:rsidRPr="001C4A98">
        <w:rPr>
          <w:bCs/>
          <w:sz w:val="24"/>
          <w:szCs w:val="24"/>
        </w:rPr>
        <w:t>от Изборния кодекс</w:t>
      </w:r>
      <w:r w:rsidR="005419A8">
        <w:rPr>
          <w:bCs/>
          <w:sz w:val="24"/>
          <w:szCs w:val="24"/>
        </w:rPr>
        <w:t xml:space="preserve"> като се имат предвид изискванията на чл. 213, ал. 3 </w:t>
      </w:r>
      <w:r w:rsidR="00AF17E7">
        <w:rPr>
          <w:bCs/>
          <w:sz w:val="24"/>
          <w:szCs w:val="24"/>
        </w:rPr>
        <w:t xml:space="preserve">и изискванията на техническата спецификация. </w:t>
      </w:r>
      <w:r w:rsidR="001F3660" w:rsidRPr="001C4A98">
        <w:rPr>
          <w:bCs/>
          <w:sz w:val="24"/>
          <w:szCs w:val="24"/>
        </w:rPr>
        <w:t>Изискванията на чл. 213, ал. 3 от Изборния кодекс</w:t>
      </w:r>
      <w:r w:rsidR="00B95EF3" w:rsidRPr="001C4A98">
        <w:rPr>
          <w:bCs/>
          <w:sz w:val="24"/>
          <w:szCs w:val="24"/>
        </w:rPr>
        <w:t xml:space="preserve"> </w:t>
      </w:r>
      <w:r w:rsidR="00A4117E" w:rsidRPr="001C4A98">
        <w:rPr>
          <w:bCs/>
          <w:sz w:val="24"/>
          <w:szCs w:val="24"/>
        </w:rPr>
        <w:t xml:space="preserve">се определят от Централната избирателна комисия (ЦИК) и </w:t>
      </w:r>
      <w:r w:rsidR="00B95EF3" w:rsidRPr="001C4A98">
        <w:rPr>
          <w:bCs/>
          <w:sz w:val="24"/>
          <w:szCs w:val="24"/>
        </w:rPr>
        <w:t>с</w:t>
      </w:r>
      <w:r w:rsidR="00A4117E" w:rsidRPr="001C4A98">
        <w:rPr>
          <w:bCs/>
          <w:sz w:val="24"/>
          <w:szCs w:val="24"/>
        </w:rPr>
        <w:t xml:space="preserve">е приемат </w:t>
      </w:r>
      <w:r w:rsidR="003B176E">
        <w:rPr>
          <w:bCs/>
          <w:sz w:val="24"/>
          <w:szCs w:val="24"/>
        </w:rPr>
        <w:t xml:space="preserve">от </w:t>
      </w:r>
      <w:r w:rsidR="00124B91">
        <w:rPr>
          <w:bCs/>
          <w:sz w:val="24"/>
          <w:szCs w:val="24"/>
        </w:rPr>
        <w:t>нея</w:t>
      </w:r>
      <w:r w:rsidR="00DD16D5" w:rsidRPr="001C4A98">
        <w:rPr>
          <w:bCs/>
          <w:sz w:val="24"/>
          <w:szCs w:val="24"/>
        </w:rPr>
        <w:t xml:space="preserve"> преди провеждане на  конкретните избори. </w:t>
      </w:r>
    </w:p>
    <w:p w14:paraId="6CFB2E41" w14:textId="1593C542" w:rsidR="00A87E73" w:rsidRPr="001C4A98" w:rsidRDefault="00FF20DF" w:rsidP="00D1368E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Дейностите по </w:t>
      </w:r>
      <w:r w:rsidR="00450515" w:rsidRPr="001C4A98">
        <w:rPr>
          <w:bCs/>
          <w:sz w:val="24"/>
          <w:szCs w:val="24"/>
        </w:rPr>
        <w:t xml:space="preserve">удостоверяване </w:t>
      </w:r>
      <w:r w:rsidRPr="001C4A98">
        <w:rPr>
          <w:bCs/>
          <w:sz w:val="24"/>
          <w:szCs w:val="24"/>
        </w:rPr>
        <w:t>на съответствието на доставения тип техническо устройство за машинно гласуване с изискванията на Изборния кодекс</w:t>
      </w:r>
      <w:r w:rsidR="002E09D7" w:rsidRPr="001C4A98">
        <w:rPr>
          <w:bCs/>
          <w:sz w:val="24"/>
          <w:szCs w:val="24"/>
        </w:rPr>
        <w:t>, описани в приложения № 1 - № 4,</w:t>
      </w:r>
      <w:r w:rsidRPr="001C4A98">
        <w:rPr>
          <w:bCs/>
          <w:sz w:val="24"/>
          <w:szCs w:val="24"/>
        </w:rPr>
        <w:t xml:space="preserve"> започват </w:t>
      </w:r>
      <w:r w:rsidR="00D014EB" w:rsidRPr="001C4A98">
        <w:rPr>
          <w:bCs/>
          <w:sz w:val="24"/>
          <w:szCs w:val="24"/>
        </w:rPr>
        <w:t>след предоставяне</w:t>
      </w:r>
      <w:r w:rsidR="00450515" w:rsidRPr="001C4A98">
        <w:rPr>
          <w:bCs/>
          <w:sz w:val="24"/>
          <w:szCs w:val="24"/>
        </w:rPr>
        <w:t xml:space="preserve"> от </w:t>
      </w:r>
      <w:r w:rsidR="00EB67EA">
        <w:rPr>
          <w:bCs/>
          <w:sz w:val="24"/>
          <w:szCs w:val="24"/>
        </w:rPr>
        <w:t xml:space="preserve">страна на </w:t>
      </w:r>
      <w:r w:rsidR="00450515" w:rsidRPr="001C4A98">
        <w:rPr>
          <w:bCs/>
          <w:sz w:val="24"/>
          <w:szCs w:val="24"/>
        </w:rPr>
        <w:t>ЦИК на</w:t>
      </w:r>
      <w:r w:rsidR="00A87E73" w:rsidRPr="001C4A98">
        <w:rPr>
          <w:bCs/>
          <w:sz w:val="24"/>
          <w:szCs w:val="24"/>
        </w:rPr>
        <w:t xml:space="preserve">: </w:t>
      </w:r>
    </w:p>
    <w:p w14:paraId="7842E420" w14:textId="60974A3E" w:rsidR="00A87E73" w:rsidRPr="001C4A98" w:rsidRDefault="00A87E73" w:rsidP="00D1368E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- </w:t>
      </w:r>
      <w:r w:rsidR="00450515" w:rsidRPr="001C4A98">
        <w:rPr>
          <w:bCs/>
          <w:sz w:val="24"/>
          <w:szCs w:val="24"/>
        </w:rPr>
        <w:t xml:space="preserve"> </w:t>
      </w:r>
      <w:r w:rsidR="00C4175F" w:rsidRPr="001C4A98">
        <w:rPr>
          <w:bCs/>
          <w:sz w:val="24"/>
          <w:szCs w:val="24"/>
        </w:rPr>
        <w:t xml:space="preserve">представителна извадка от </w:t>
      </w:r>
      <w:r w:rsidR="00450515" w:rsidRPr="001C4A98">
        <w:rPr>
          <w:bCs/>
          <w:sz w:val="24"/>
          <w:szCs w:val="24"/>
        </w:rPr>
        <w:t>образц</w:t>
      </w:r>
      <w:r w:rsidR="00A51112" w:rsidRPr="001C4A98">
        <w:rPr>
          <w:bCs/>
          <w:sz w:val="24"/>
          <w:szCs w:val="24"/>
        </w:rPr>
        <w:t>и</w:t>
      </w:r>
      <w:r w:rsidR="00450515" w:rsidRPr="001C4A98">
        <w:rPr>
          <w:bCs/>
          <w:sz w:val="24"/>
          <w:szCs w:val="24"/>
        </w:rPr>
        <w:t xml:space="preserve"> </w:t>
      </w:r>
      <w:r w:rsidR="00371F03" w:rsidRPr="001C4A98">
        <w:rPr>
          <w:bCs/>
          <w:sz w:val="24"/>
          <w:szCs w:val="24"/>
        </w:rPr>
        <w:t>на</w:t>
      </w:r>
      <w:r w:rsidR="00A51112" w:rsidRPr="001C4A98">
        <w:rPr>
          <w:bCs/>
          <w:sz w:val="24"/>
          <w:szCs w:val="24"/>
        </w:rPr>
        <w:t xml:space="preserve"> </w:t>
      </w:r>
      <w:r w:rsidR="00450515" w:rsidRPr="001C4A98">
        <w:rPr>
          <w:bCs/>
          <w:sz w:val="24"/>
          <w:szCs w:val="24"/>
        </w:rPr>
        <w:t>техническ</w:t>
      </w:r>
      <w:r w:rsidR="00A51112" w:rsidRPr="001C4A98">
        <w:rPr>
          <w:bCs/>
          <w:sz w:val="24"/>
          <w:szCs w:val="24"/>
        </w:rPr>
        <w:t>ите</w:t>
      </w:r>
      <w:r w:rsidR="00450515" w:rsidRPr="001C4A98">
        <w:rPr>
          <w:bCs/>
          <w:sz w:val="24"/>
          <w:szCs w:val="24"/>
        </w:rPr>
        <w:t xml:space="preserve"> устройств</w:t>
      </w:r>
      <w:r w:rsidR="00A51112" w:rsidRPr="001C4A98">
        <w:rPr>
          <w:bCs/>
          <w:sz w:val="24"/>
          <w:szCs w:val="24"/>
        </w:rPr>
        <w:t>а</w:t>
      </w:r>
      <w:r w:rsidR="00450515" w:rsidRPr="001C4A98">
        <w:rPr>
          <w:bCs/>
          <w:sz w:val="24"/>
          <w:szCs w:val="24"/>
        </w:rPr>
        <w:t xml:space="preserve"> за машинно гласуване с</w:t>
      </w:r>
      <w:r w:rsidR="00FF20DF" w:rsidRPr="001C4A98">
        <w:rPr>
          <w:bCs/>
          <w:sz w:val="24"/>
          <w:szCs w:val="24"/>
        </w:rPr>
        <w:t xml:space="preserve"> инсталиран</w:t>
      </w:r>
      <w:r w:rsidR="00450515" w:rsidRPr="001C4A98">
        <w:rPr>
          <w:bCs/>
          <w:sz w:val="24"/>
          <w:szCs w:val="24"/>
        </w:rPr>
        <w:t>и операционна система и приложен</w:t>
      </w:r>
      <w:r w:rsidR="00B167DC" w:rsidRPr="001C4A98">
        <w:rPr>
          <w:bCs/>
          <w:sz w:val="24"/>
          <w:szCs w:val="24"/>
        </w:rPr>
        <w:t xml:space="preserve"> софтуер</w:t>
      </w:r>
      <w:r w:rsidRPr="001C4A98">
        <w:rPr>
          <w:bCs/>
          <w:sz w:val="24"/>
          <w:szCs w:val="24"/>
        </w:rPr>
        <w:t>;</w:t>
      </w:r>
    </w:p>
    <w:p w14:paraId="783A2A0F" w14:textId="49096B75" w:rsidR="00A87E73" w:rsidRPr="001C4A98" w:rsidRDefault="00A87E73" w:rsidP="00D1368E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- </w:t>
      </w:r>
      <w:r w:rsidR="005A19AF">
        <w:rPr>
          <w:bCs/>
          <w:sz w:val="24"/>
          <w:szCs w:val="24"/>
        </w:rPr>
        <w:t xml:space="preserve"> пълния</w:t>
      </w:r>
      <w:r w:rsidR="00D1368E" w:rsidRPr="001C4A98">
        <w:rPr>
          <w:bCs/>
          <w:sz w:val="24"/>
          <w:szCs w:val="24"/>
        </w:rPr>
        <w:t xml:space="preserve"> комплект от документи и </w:t>
      </w:r>
    </w:p>
    <w:p w14:paraId="616AE77A" w14:textId="7911E659" w:rsidR="00A87E73" w:rsidRPr="001C4A98" w:rsidRDefault="00A87E73" w:rsidP="00D1368E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lastRenderedPageBreak/>
        <w:t xml:space="preserve">- </w:t>
      </w:r>
      <w:r w:rsidR="00D1368E" w:rsidRPr="001C4A98">
        <w:rPr>
          <w:bCs/>
          <w:sz w:val="24"/>
          <w:szCs w:val="24"/>
        </w:rPr>
        <w:t>администраторски права за достъп до компонентите и периферните устройства на ТУМГ</w:t>
      </w:r>
      <w:r w:rsidR="005A19AF">
        <w:rPr>
          <w:bCs/>
          <w:sz w:val="24"/>
          <w:szCs w:val="24"/>
        </w:rPr>
        <w:t>.</w:t>
      </w:r>
    </w:p>
    <w:p w14:paraId="3C0E5FD8" w14:textId="77777777" w:rsidR="00F20922" w:rsidRPr="00256412" w:rsidRDefault="00F20922" w:rsidP="00D1368E">
      <w:pPr>
        <w:spacing w:after="120" w:line="240" w:lineRule="auto"/>
        <w:jc w:val="both"/>
        <w:rPr>
          <w:bCs/>
          <w:sz w:val="24"/>
          <w:szCs w:val="24"/>
        </w:rPr>
      </w:pPr>
      <w:r w:rsidRPr="00256412">
        <w:rPr>
          <w:bCs/>
          <w:sz w:val="24"/>
          <w:szCs w:val="24"/>
        </w:rPr>
        <w:t xml:space="preserve">Обхвата на дейностите по проверка и тестване на ТУМГ са описани подробно в Приложения № 1 - № 4 от Методиката. </w:t>
      </w:r>
    </w:p>
    <w:p w14:paraId="4E6538F3" w14:textId="77777777" w:rsidR="00256412" w:rsidRPr="00256412" w:rsidRDefault="002E15D5" w:rsidP="00256412">
      <w:pPr>
        <w:widowControl w:val="0"/>
        <w:tabs>
          <w:tab w:val="left" w:pos="993"/>
        </w:tabs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Дейностите по удостоверяване</w:t>
      </w:r>
      <w:r w:rsidR="003447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съответствието </w:t>
      </w:r>
      <w:r w:rsidR="00FF20DF" w:rsidRPr="001C4A98">
        <w:rPr>
          <w:bCs/>
          <w:sz w:val="24"/>
          <w:szCs w:val="24"/>
        </w:rPr>
        <w:t xml:space="preserve">завършват с </w:t>
      </w:r>
      <w:r w:rsidR="00684947" w:rsidRPr="001C4A98">
        <w:rPr>
          <w:bCs/>
          <w:sz w:val="24"/>
          <w:szCs w:val="24"/>
        </w:rPr>
        <w:t xml:space="preserve">издаване на </w:t>
      </w:r>
      <w:r>
        <w:rPr>
          <w:bCs/>
          <w:sz w:val="24"/>
          <w:szCs w:val="24"/>
        </w:rPr>
        <w:t xml:space="preserve">решение за </w:t>
      </w:r>
      <w:r w:rsidR="00684947" w:rsidRPr="001C4A98">
        <w:rPr>
          <w:bCs/>
          <w:sz w:val="24"/>
          <w:szCs w:val="24"/>
        </w:rPr>
        <w:t>удостоверение за съ</w:t>
      </w:r>
      <w:r w:rsidR="00FF0CFC" w:rsidRPr="001C4A98">
        <w:rPr>
          <w:bCs/>
          <w:sz w:val="24"/>
          <w:szCs w:val="24"/>
        </w:rPr>
        <w:t>о</w:t>
      </w:r>
      <w:r w:rsidR="00684947" w:rsidRPr="001C4A98">
        <w:rPr>
          <w:bCs/>
          <w:sz w:val="24"/>
          <w:szCs w:val="24"/>
        </w:rPr>
        <w:t xml:space="preserve">тветствие от председателя на </w:t>
      </w:r>
      <w:r w:rsidR="00B167DC" w:rsidRPr="001C4A98">
        <w:rPr>
          <w:bCs/>
          <w:sz w:val="24"/>
          <w:szCs w:val="24"/>
        </w:rPr>
        <w:t xml:space="preserve">ДАЕУ, председателя на БИМ и председателя на Управителния съвет на БИС. </w:t>
      </w:r>
      <w:r w:rsidR="00256412" w:rsidRPr="00256412">
        <w:rPr>
          <w:bCs/>
          <w:sz w:val="24"/>
          <w:szCs w:val="24"/>
        </w:rPr>
        <w:t>Решението за удостоверяване на съответствието се издава на български език и е валидно само и единствено в комплект с Доклада за оценяване на съответствието и Декларацията за съответствие и идентичност на ТУМГ, издадена от Изпълнителя.</w:t>
      </w:r>
    </w:p>
    <w:p w14:paraId="7EBA9839" w14:textId="35827C6E" w:rsidR="00E72364" w:rsidRDefault="00E72364" w:rsidP="00213DF7">
      <w:pPr>
        <w:widowControl w:val="0"/>
        <w:tabs>
          <w:tab w:val="left" w:pos="993"/>
        </w:tabs>
        <w:suppressAutoHyphens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В обхвата на </w:t>
      </w:r>
      <w:r w:rsidR="00AC786B" w:rsidRPr="001C4A98">
        <w:rPr>
          <w:bCs/>
          <w:sz w:val="24"/>
          <w:szCs w:val="24"/>
        </w:rPr>
        <w:t>М</w:t>
      </w:r>
      <w:r w:rsidRPr="001C4A98">
        <w:rPr>
          <w:bCs/>
          <w:sz w:val="24"/>
          <w:szCs w:val="24"/>
        </w:rPr>
        <w:t>етодиката не се включват дейности, които се извършват от изборната администрация</w:t>
      </w:r>
      <w:r w:rsidR="00A87E73" w:rsidRPr="001C4A98">
        <w:rPr>
          <w:bCs/>
          <w:sz w:val="24"/>
          <w:szCs w:val="24"/>
        </w:rPr>
        <w:t xml:space="preserve"> и Изпълнителя</w:t>
      </w:r>
      <w:r w:rsidRPr="001C4A98">
        <w:rPr>
          <w:bCs/>
          <w:sz w:val="24"/>
          <w:szCs w:val="24"/>
        </w:rPr>
        <w:t xml:space="preserve">; дейности, свързани с удостоверяване на организацията и технологията на компютърната обработка на резултатите от гласуването, </w:t>
      </w:r>
      <w:r w:rsidR="00641235">
        <w:rPr>
          <w:bCs/>
          <w:sz w:val="24"/>
          <w:szCs w:val="24"/>
        </w:rPr>
        <w:t xml:space="preserve">осъществявана от „Информационно обслужване“ АД, </w:t>
      </w:r>
      <w:r w:rsidRPr="001C4A98">
        <w:rPr>
          <w:bCs/>
          <w:sz w:val="24"/>
          <w:szCs w:val="24"/>
        </w:rPr>
        <w:t>както и такива, свързани с логистиката</w:t>
      </w:r>
      <w:r w:rsidR="00A87E73" w:rsidRPr="001C4A98">
        <w:rPr>
          <w:bCs/>
          <w:sz w:val="24"/>
          <w:szCs w:val="24"/>
        </w:rPr>
        <w:t xml:space="preserve"> и техническото </w:t>
      </w:r>
      <w:r w:rsidR="00A264F9">
        <w:rPr>
          <w:bCs/>
          <w:sz w:val="24"/>
          <w:szCs w:val="24"/>
        </w:rPr>
        <w:t>обслужване</w:t>
      </w:r>
      <w:r w:rsidRPr="001C4A98">
        <w:rPr>
          <w:bCs/>
          <w:sz w:val="24"/>
          <w:szCs w:val="24"/>
        </w:rPr>
        <w:t>, ко</w:t>
      </w:r>
      <w:r w:rsidR="00A87E73" w:rsidRPr="001C4A98">
        <w:rPr>
          <w:bCs/>
          <w:sz w:val="24"/>
          <w:szCs w:val="24"/>
        </w:rPr>
        <w:t>и</w:t>
      </w:r>
      <w:r w:rsidRPr="001C4A98">
        <w:rPr>
          <w:bCs/>
          <w:sz w:val="24"/>
          <w:szCs w:val="24"/>
        </w:rPr>
        <w:t>то ще се извършва</w:t>
      </w:r>
      <w:r w:rsidR="00A87E73" w:rsidRPr="001C4A98">
        <w:rPr>
          <w:bCs/>
          <w:sz w:val="24"/>
          <w:szCs w:val="24"/>
        </w:rPr>
        <w:t>т</w:t>
      </w:r>
      <w:r w:rsidRPr="001C4A98">
        <w:rPr>
          <w:bCs/>
          <w:sz w:val="24"/>
          <w:szCs w:val="24"/>
        </w:rPr>
        <w:t xml:space="preserve"> по отношение на </w:t>
      </w:r>
      <w:r w:rsidR="00DD16D5" w:rsidRPr="001C4A98">
        <w:rPr>
          <w:bCs/>
          <w:sz w:val="24"/>
          <w:szCs w:val="24"/>
        </w:rPr>
        <w:t xml:space="preserve">техническите </w:t>
      </w:r>
      <w:r w:rsidRPr="001C4A98">
        <w:rPr>
          <w:bCs/>
          <w:sz w:val="24"/>
          <w:szCs w:val="24"/>
        </w:rPr>
        <w:t>устройства за машинно гласуване.</w:t>
      </w:r>
    </w:p>
    <w:p w14:paraId="57CF66BC" w14:textId="69A9AA38" w:rsidR="005419A8" w:rsidRPr="001C4A98" w:rsidRDefault="00655332" w:rsidP="00213DF7">
      <w:pPr>
        <w:widowControl w:val="0"/>
        <w:tabs>
          <w:tab w:val="left" w:pos="993"/>
        </w:tabs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Съгласно чл. 213а, ал. 4 от Изборния кодекс с</w:t>
      </w:r>
      <w:r w:rsidR="005419A8" w:rsidRPr="005419A8">
        <w:rPr>
          <w:bCs/>
          <w:sz w:val="24"/>
          <w:szCs w:val="24"/>
        </w:rPr>
        <w:t>рокът за осъществяване на процесите по удостоверяване</w:t>
      </w:r>
      <w:r w:rsidR="00520DFE">
        <w:rPr>
          <w:bCs/>
          <w:sz w:val="24"/>
          <w:szCs w:val="24"/>
        </w:rPr>
        <w:t xml:space="preserve"> на съответствието от страна на трите институции</w:t>
      </w:r>
      <w:r w:rsidR="005419A8" w:rsidRPr="005419A8">
        <w:rPr>
          <w:bCs/>
          <w:sz w:val="24"/>
          <w:szCs w:val="24"/>
        </w:rPr>
        <w:t xml:space="preserve"> е 20 работни дни</w:t>
      </w:r>
      <w:r w:rsidR="00520DFE">
        <w:rPr>
          <w:bCs/>
          <w:sz w:val="24"/>
          <w:szCs w:val="24"/>
        </w:rPr>
        <w:t>, който срок започва да тече</w:t>
      </w:r>
      <w:r>
        <w:rPr>
          <w:bCs/>
          <w:sz w:val="24"/>
          <w:szCs w:val="24"/>
        </w:rPr>
        <w:t xml:space="preserve"> </w:t>
      </w:r>
      <w:r w:rsidR="00520DFE" w:rsidRPr="00520DFE">
        <w:rPr>
          <w:bCs/>
          <w:sz w:val="24"/>
          <w:szCs w:val="24"/>
        </w:rPr>
        <w:t>от предоставяне от страна на ЦИК на техническите устройства с инсталиран софтуер и окомплектовани с всички информационни активи</w:t>
      </w:r>
      <w:r w:rsidR="00520DFE">
        <w:rPr>
          <w:bCs/>
          <w:sz w:val="24"/>
          <w:szCs w:val="24"/>
        </w:rPr>
        <w:t>,</w:t>
      </w:r>
      <w:r w:rsidR="00520DFE" w:rsidRPr="00520DFE">
        <w:rPr>
          <w:bCs/>
          <w:sz w:val="24"/>
          <w:szCs w:val="24"/>
        </w:rPr>
        <w:t xml:space="preserve"> необходими за провеждане на съответните избори.</w:t>
      </w:r>
    </w:p>
    <w:p w14:paraId="0D6797D4" w14:textId="58D3BCE3" w:rsidR="003B7540" w:rsidRPr="001C4A98" w:rsidRDefault="003B7540" w:rsidP="003B7540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Приложимите документи за изпитване, проверка, оценяване и удостоверяване на съответствието са описани в  Библиографията, но не са ограничени и като списък могат да бъдат допълвани в плана за оценяване, след предоставяне </w:t>
      </w:r>
      <w:r w:rsidR="007906CC">
        <w:rPr>
          <w:bCs/>
          <w:sz w:val="24"/>
          <w:szCs w:val="24"/>
        </w:rPr>
        <w:t xml:space="preserve">от страна на ЦИК </w:t>
      </w:r>
      <w:r w:rsidRPr="001C4A98">
        <w:rPr>
          <w:bCs/>
          <w:sz w:val="24"/>
          <w:szCs w:val="24"/>
        </w:rPr>
        <w:t>на техническите устройства за машинно гласуване и съпровождащата ги документация.</w:t>
      </w:r>
    </w:p>
    <w:p w14:paraId="1E1E2417" w14:textId="77777777" w:rsidR="00B96EE6" w:rsidRPr="001C4A98" w:rsidRDefault="00B96EE6" w:rsidP="00E73785">
      <w:pPr>
        <w:numPr>
          <w:ilvl w:val="0"/>
          <w:numId w:val="1"/>
        </w:numPr>
        <w:spacing w:before="360" w:after="240" w:line="240" w:lineRule="auto"/>
        <w:ind w:left="648"/>
        <w:jc w:val="both"/>
        <w:rPr>
          <w:b/>
          <w:bCs/>
          <w:sz w:val="26"/>
          <w:szCs w:val="26"/>
        </w:rPr>
      </w:pPr>
      <w:r w:rsidRPr="001C4A98">
        <w:rPr>
          <w:b/>
          <w:bCs/>
          <w:sz w:val="26"/>
          <w:szCs w:val="26"/>
        </w:rPr>
        <w:t>Термини, определения и съкращения</w:t>
      </w:r>
    </w:p>
    <w:p w14:paraId="055B4B5E" w14:textId="34484740" w:rsidR="00B96EE6" w:rsidRDefault="007E13D5" w:rsidP="00AF0DE7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Техническо у</w:t>
      </w:r>
      <w:r w:rsidR="00B96EE6" w:rsidRPr="001C4A98">
        <w:rPr>
          <w:b/>
          <w:bCs/>
          <w:sz w:val="24"/>
          <w:szCs w:val="24"/>
        </w:rPr>
        <w:t>стройство за машинно гласуване (</w:t>
      </w:r>
      <w:r w:rsidRPr="001C4A98">
        <w:rPr>
          <w:b/>
          <w:bCs/>
          <w:sz w:val="24"/>
          <w:szCs w:val="24"/>
        </w:rPr>
        <w:t>Т</w:t>
      </w:r>
      <w:r w:rsidR="00B96EE6" w:rsidRPr="001C4A98">
        <w:rPr>
          <w:b/>
          <w:bCs/>
          <w:sz w:val="24"/>
          <w:szCs w:val="24"/>
        </w:rPr>
        <w:t>УМГ)</w:t>
      </w:r>
      <w:r w:rsidR="008B0231" w:rsidRPr="001C4A98">
        <w:rPr>
          <w:bCs/>
          <w:sz w:val="24"/>
          <w:szCs w:val="24"/>
        </w:rPr>
        <w:t xml:space="preserve"> - </w:t>
      </w:r>
      <w:r w:rsidR="00B96EE6" w:rsidRPr="001C4A98">
        <w:rPr>
          <w:bCs/>
          <w:sz w:val="24"/>
          <w:szCs w:val="24"/>
        </w:rPr>
        <w:t xml:space="preserve">съвкупност от компоненти на апаратни и програмни средства, които в своята цялост осигуряват технологичния процес в </w:t>
      </w:r>
      <w:r w:rsidR="00834120" w:rsidRPr="001C4A98">
        <w:rPr>
          <w:bCs/>
          <w:sz w:val="24"/>
          <w:szCs w:val="24"/>
        </w:rPr>
        <w:t>избирателни</w:t>
      </w:r>
      <w:r w:rsidR="00FE23A3" w:rsidRPr="001C4A98">
        <w:rPr>
          <w:bCs/>
          <w:sz w:val="24"/>
          <w:szCs w:val="24"/>
        </w:rPr>
        <w:t>те секции</w:t>
      </w:r>
      <w:r w:rsidR="00834120" w:rsidRPr="001C4A98">
        <w:rPr>
          <w:bCs/>
          <w:sz w:val="24"/>
          <w:szCs w:val="24"/>
        </w:rPr>
        <w:t xml:space="preserve"> </w:t>
      </w:r>
      <w:r w:rsidR="00B96EE6" w:rsidRPr="001C4A98">
        <w:rPr>
          <w:bCs/>
          <w:sz w:val="24"/>
          <w:szCs w:val="24"/>
        </w:rPr>
        <w:t>по прои</w:t>
      </w:r>
      <w:r w:rsidR="007538C2" w:rsidRPr="001C4A98">
        <w:rPr>
          <w:bCs/>
          <w:sz w:val="24"/>
          <w:szCs w:val="24"/>
        </w:rPr>
        <w:t>з</w:t>
      </w:r>
      <w:r w:rsidR="00B96EE6" w:rsidRPr="001C4A98">
        <w:rPr>
          <w:bCs/>
          <w:sz w:val="24"/>
          <w:szCs w:val="24"/>
        </w:rPr>
        <w:t xml:space="preserve">веждане на избори </w:t>
      </w:r>
      <w:r w:rsidR="00BA14B4" w:rsidRPr="001C4A98">
        <w:rPr>
          <w:bCs/>
          <w:sz w:val="24"/>
          <w:szCs w:val="24"/>
        </w:rPr>
        <w:t xml:space="preserve">чрез машинно гласуване </w:t>
      </w:r>
      <w:r w:rsidR="00B96EE6" w:rsidRPr="001C4A98">
        <w:rPr>
          <w:bCs/>
          <w:sz w:val="24"/>
          <w:szCs w:val="24"/>
        </w:rPr>
        <w:t>в Република България</w:t>
      </w:r>
      <w:r w:rsidR="00186497" w:rsidRPr="001C4A98">
        <w:rPr>
          <w:bCs/>
          <w:sz w:val="24"/>
          <w:szCs w:val="24"/>
        </w:rPr>
        <w:t>,</w:t>
      </w:r>
      <w:r w:rsidR="00B96EE6" w:rsidRPr="001C4A98">
        <w:rPr>
          <w:bCs/>
          <w:sz w:val="24"/>
          <w:szCs w:val="24"/>
        </w:rPr>
        <w:t xml:space="preserve"> в съответствие с изискванията на </w:t>
      </w:r>
      <w:r w:rsidR="00BA14B4" w:rsidRPr="001C4A98">
        <w:rPr>
          <w:bCs/>
          <w:sz w:val="24"/>
          <w:szCs w:val="24"/>
        </w:rPr>
        <w:t>Изборния кодекс</w:t>
      </w:r>
      <w:r w:rsidR="00B96EE6" w:rsidRPr="001C4A98">
        <w:rPr>
          <w:bCs/>
          <w:sz w:val="24"/>
          <w:szCs w:val="24"/>
        </w:rPr>
        <w:t>.</w:t>
      </w:r>
      <w:r w:rsidR="009D52BD" w:rsidRPr="001C4A98">
        <w:rPr>
          <w:bCs/>
          <w:sz w:val="24"/>
          <w:szCs w:val="24"/>
        </w:rPr>
        <w:t xml:space="preserve"> В Изборния кодекс и в </w:t>
      </w:r>
      <w:r w:rsidR="00A87E73" w:rsidRPr="001C4A98">
        <w:rPr>
          <w:bCs/>
          <w:sz w:val="24"/>
          <w:szCs w:val="24"/>
        </w:rPr>
        <w:t>техническите изисквания</w:t>
      </w:r>
      <w:r w:rsidR="009D52BD" w:rsidRPr="001C4A98">
        <w:rPr>
          <w:bCs/>
          <w:sz w:val="24"/>
          <w:szCs w:val="24"/>
        </w:rPr>
        <w:t xml:space="preserve"> са </w:t>
      </w:r>
      <w:r w:rsidR="00BA14B4" w:rsidRPr="001C4A98">
        <w:rPr>
          <w:bCs/>
          <w:sz w:val="24"/>
          <w:szCs w:val="24"/>
        </w:rPr>
        <w:t>из</w:t>
      </w:r>
      <w:r w:rsidR="009D52BD" w:rsidRPr="001C4A98">
        <w:rPr>
          <w:bCs/>
          <w:sz w:val="24"/>
          <w:szCs w:val="24"/>
        </w:rPr>
        <w:t xml:space="preserve">ползвани </w:t>
      </w:r>
      <w:r w:rsidR="000F2643" w:rsidRPr="001C4A98">
        <w:rPr>
          <w:bCs/>
          <w:sz w:val="24"/>
          <w:szCs w:val="24"/>
        </w:rPr>
        <w:t xml:space="preserve">различни термини, описващи </w:t>
      </w:r>
      <w:r w:rsidR="00E56CF9" w:rsidRPr="001C4A98">
        <w:rPr>
          <w:sz w:val="24"/>
        </w:rPr>
        <w:t>устройствата за машинно гласуване,</w:t>
      </w:r>
      <w:r w:rsidR="000F2643" w:rsidRPr="001C4A98">
        <w:rPr>
          <w:bCs/>
          <w:sz w:val="24"/>
          <w:szCs w:val="24"/>
        </w:rPr>
        <w:t xml:space="preserve"> като например: специализирано устройство за гласуване; специализирано устройство за машинно гласуване</w:t>
      </w:r>
      <w:r w:rsidR="00186497" w:rsidRPr="001C4A98">
        <w:rPr>
          <w:bCs/>
          <w:sz w:val="24"/>
          <w:szCs w:val="24"/>
        </w:rPr>
        <w:t>;</w:t>
      </w:r>
      <w:r w:rsidR="000F2643" w:rsidRPr="001C4A98">
        <w:rPr>
          <w:bCs/>
          <w:sz w:val="24"/>
          <w:szCs w:val="24"/>
        </w:rPr>
        <w:t xml:space="preserve"> устройство; техническо устройство; специализирано устройство; устройство за </w:t>
      </w:r>
      <w:r w:rsidR="00E56CF9" w:rsidRPr="001C4A98">
        <w:rPr>
          <w:bCs/>
          <w:sz w:val="24"/>
          <w:szCs w:val="24"/>
        </w:rPr>
        <w:t>електронно машинно гласуване</w:t>
      </w:r>
      <w:r w:rsidR="000F2643" w:rsidRPr="001C4A98">
        <w:rPr>
          <w:b/>
          <w:bCs/>
          <w:sz w:val="24"/>
          <w:szCs w:val="24"/>
        </w:rPr>
        <w:t>;</w:t>
      </w:r>
      <w:r w:rsidR="000F2643" w:rsidRPr="001C4A98">
        <w:rPr>
          <w:bCs/>
          <w:sz w:val="24"/>
          <w:szCs w:val="24"/>
        </w:rPr>
        <w:t xml:space="preserve"> </w:t>
      </w:r>
      <w:r w:rsidR="004D09D3">
        <w:rPr>
          <w:bCs/>
          <w:sz w:val="24"/>
          <w:szCs w:val="24"/>
        </w:rPr>
        <w:t xml:space="preserve">специализирано устройство за електронно машинно гласуване (СУЕМГ); </w:t>
      </w:r>
      <w:r w:rsidR="000F2643" w:rsidRPr="001C4A98">
        <w:rPr>
          <w:bCs/>
          <w:sz w:val="24"/>
          <w:szCs w:val="24"/>
        </w:rPr>
        <w:t>машина; машина за гласуване и др.  За целите на този документ</w:t>
      </w:r>
      <w:r w:rsidR="003A4F31" w:rsidRPr="001C4A98">
        <w:rPr>
          <w:bCs/>
          <w:sz w:val="24"/>
          <w:szCs w:val="24"/>
        </w:rPr>
        <w:t xml:space="preserve"> и в съответствие с разпоредбата</w:t>
      </w:r>
      <w:r w:rsidR="000F2643" w:rsidRPr="001C4A98">
        <w:rPr>
          <w:bCs/>
          <w:sz w:val="24"/>
          <w:szCs w:val="24"/>
        </w:rPr>
        <w:t xml:space="preserve"> на чл. 213а </w:t>
      </w:r>
      <w:r w:rsidR="00186497" w:rsidRPr="001C4A98">
        <w:rPr>
          <w:bCs/>
          <w:sz w:val="24"/>
          <w:szCs w:val="24"/>
        </w:rPr>
        <w:t xml:space="preserve">от </w:t>
      </w:r>
      <w:r w:rsidR="003C4618" w:rsidRPr="001C4A98">
        <w:rPr>
          <w:bCs/>
          <w:sz w:val="24"/>
          <w:szCs w:val="24"/>
        </w:rPr>
        <w:t>И</w:t>
      </w:r>
      <w:r w:rsidR="00186497" w:rsidRPr="001C4A98">
        <w:rPr>
          <w:bCs/>
          <w:sz w:val="24"/>
          <w:szCs w:val="24"/>
        </w:rPr>
        <w:t>зборния кодекс</w:t>
      </w:r>
      <w:r w:rsidR="00561C93" w:rsidRPr="001C4A98">
        <w:rPr>
          <w:bCs/>
          <w:sz w:val="24"/>
          <w:szCs w:val="24"/>
        </w:rPr>
        <w:t xml:space="preserve">, в тази Методика </w:t>
      </w:r>
      <w:r w:rsidR="000F2643" w:rsidRPr="001C4A98">
        <w:rPr>
          <w:bCs/>
          <w:sz w:val="24"/>
          <w:szCs w:val="24"/>
        </w:rPr>
        <w:t xml:space="preserve">е </w:t>
      </w:r>
      <w:r w:rsidR="00BD6808" w:rsidRPr="001C4A98">
        <w:rPr>
          <w:bCs/>
          <w:sz w:val="24"/>
          <w:szCs w:val="24"/>
        </w:rPr>
        <w:t>из</w:t>
      </w:r>
      <w:r w:rsidR="000F2643" w:rsidRPr="001C4A98">
        <w:rPr>
          <w:bCs/>
          <w:sz w:val="24"/>
          <w:szCs w:val="24"/>
        </w:rPr>
        <w:t xml:space="preserve">ползван </w:t>
      </w:r>
      <w:r w:rsidR="00186497" w:rsidRPr="001C4A98">
        <w:rPr>
          <w:bCs/>
          <w:sz w:val="24"/>
          <w:szCs w:val="24"/>
        </w:rPr>
        <w:t>един обобщаващ</w:t>
      </w:r>
      <w:r w:rsidR="000F2643" w:rsidRPr="001C4A98">
        <w:rPr>
          <w:bCs/>
          <w:sz w:val="24"/>
          <w:szCs w:val="24"/>
        </w:rPr>
        <w:t xml:space="preserve"> термин </w:t>
      </w:r>
      <w:r w:rsidR="00186497" w:rsidRPr="001C4A98">
        <w:rPr>
          <w:bCs/>
          <w:sz w:val="24"/>
          <w:szCs w:val="24"/>
        </w:rPr>
        <w:t xml:space="preserve">- </w:t>
      </w:r>
      <w:r w:rsidR="000F2643" w:rsidRPr="001C4A98">
        <w:rPr>
          <w:bCs/>
          <w:sz w:val="24"/>
          <w:szCs w:val="24"/>
        </w:rPr>
        <w:t>техническо устройство за машинно гласуване (ТУМГ).</w:t>
      </w:r>
    </w:p>
    <w:p w14:paraId="4E108DC7" w14:textId="0B2E7AA8" w:rsidR="003B176E" w:rsidRDefault="00E96BC3" w:rsidP="00344710">
      <w:pPr>
        <w:spacing w:after="120" w:line="240" w:lineRule="auto"/>
        <w:jc w:val="both"/>
        <w:rPr>
          <w:bCs/>
          <w:sz w:val="24"/>
          <w:szCs w:val="24"/>
        </w:rPr>
      </w:pPr>
      <w:r w:rsidRPr="00344710">
        <w:rPr>
          <w:b/>
          <w:bCs/>
          <w:sz w:val="24"/>
          <w:szCs w:val="24"/>
        </w:rPr>
        <w:lastRenderedPageBreak/>
        <w:t>Технически изисквания към апаратната и програмната част на ТУМГ</w:t>
      </w:r>
      <w:r w:rsidR="005419A8">
        <w:rPr>
          <w:b/>
          <w:bCs/>
          <w:sz w:val="24"/>
          <w:szCs w:val="24"/>
        </w:rPr>
        <w:t xml:space="preserve"> </w:t>
      </w:r>
      <w:r w:rsidR="005419A8" w:rsidRPr="00EC5309">
        <w:rPr>
          <w:bCs/>
          <w:sz w:val="24"/>
          <w:szCs w:val="24"/>
        </w:rPr>
        <w:t>по чл. 213, ал. 3 от Изборния кодекс</w:t>
      </w:r>
      <w:r w:rsidRPr="00EC5309">
        <w:rPr>
          <w:bCs/>
          <w:sz w:val="24"/>
          <w:szCs w:val="24"/>
        </w:rPr>
        <w:t>,</w:t>
      </w:r>
      <w:r w:rsidRPr="00344710">
        <w:rPr>
          <w:bCs/>
          <w:sz w:val="24"/>
          <w:szCs w:val="24"/>
        </w:rPr>
        <w:t xml:space="preserve"> които са определени от ЦИК (</w:t>
      </w:r>
      <w:r w:rsidR="00EC5309">
        <w:rPr>
          <w:bCs/>
          <w:sz w:val="24"/>
          <w:szCs w:val="24"/>
        </w:rPr>
        <w:t>по-нататък в текста „т</w:t>
      </w:r>
      <w:r w:rsidR="003B176E" w:rsidRPr="00344710">
        <w:rPr>
          <w:bCs/>
          <w:sz w:val="24"/>
          <w:szCs w:val="24"/>
        </w:rPr>
        <w:t>ехнически изисквания</w:t>
      </w:r>
      <w:r w:rsidR="00EC5309">
        <w:rPr>
          <w:bCs/>
          <w:sz w:val="24"/>
          <w:szCs w:val="24"/>
        </w:rPr>
        <w:t>“</w:t>
      </w:r>
      <w:r w:rsidRPr="00344710">
        <w:rPr>
          <w:bCs/>
          <w:sz w:val="24"/>
          <w:szCs w:val="24"/>
        </w:rPr>
        <w:t xml:space="preserve">) </w:t>
      </w:r>
      <w:r w:rsidR="00EC5309">
        <w:rPr>
          <w:bCs/>
          <w:sz w:val="24"/>
          <w:szCs w:val="24"/>
        </w:rPr>
        <w:t>-</w:t>
      </w:r>
      <w:r w:rsidR="003B176E" w:rsidRPr="00344710">
        <w:rPr>
          <w:bCs/>
          <w:sz w:val="24"/>
          <w:szCs w:val="24"/>
        </w:rPr>
        <w:t xml:space="preserve"> за целите на настоящият документ обобщаващият термин </w:t>
      </w:r>
      <w:r w:rsidR="00EC5309">
        <w:rPr>
          <w:bCs/>
          <w:sz w:val="24"/>
          <w:szCs w:val="24"/>
        </w:rPr>
        <w:t>„т</w:t>
      </w:r>
      <w:r w:rsidRPr="00344710">
        <w:rPr>
          <w:bCs/>
          <w:sz w:val="24"/>
          <w:szCs w:val="24"/>
        </w:rPr>
        <w:t>ехнически изисквания</w:t>
      </w:r>
      <w:r w:rsidR="00EC5309">
        <w:rPr>
          <w:bCs/>
          <w:sz w:val="24"/>
          <w:szCs w:val="24"/>
        </w:rPr>
        <w:t>“</w:t>
      </w:r>
      <w:r w:rsidRPr="00344710">
        <w:rPr>
          <w:bCs/>
          <w:sz w:val="24"/>
          <w:szCs w:val="24"/>
        </w:rPr>
        <w:t xml:space="preserve"> </w:t>
      </w:r>
      <w:r w:rsidR="003B176E" w:rsidRPr="00344710">
        <w:rPr>
          <w:bCs/>
          <w:sz w:val="24"/>
          <w:szCs w:val="24"/>
        </w:rPr>
        <w:t>включва документи</w:t>
      </w:r>
      <w:r w:rsidR="001F6110" w:rsidRPr="00344710">
        <w:rPr>
          <w:bCs/>
          <w:sz w:val="24"/>
          <w:szCs w:val="24"/>
        </w:rPr>
        <w:t>те</w:t>
      </w:r>
      <w:r w:rsidR="003B176E" w:rsidRPr="00344710">
        <w:rPr>
          <w:bCs/>
          <w:sz w:val="24"/>
          <w:szCs w:val="24"/>
        </w:rPr>
        <w:t xml:space="preserve"> </w:t>
      </w:r>
      <w:r w:rsidR="001F6110" w:rsidRPr="00344710">
        <w:rPr>
          <w:bCs/>
          <w:sz w:val="24"/>
          <w:szCs w:val="24"/>
        </w:rPr>
        <w:t xml:space="preserve">на ЦИК, </w:t>
      </w:r>
      <w:r w:rsidR="003B176E" w:rsidRPr="00344710">
        <w:rPr>
          <w:bCs/>
          <w:sz w:val="24"/>
          <w:szCs w:val="24"/>
        </w:rPr>
        <w:t>определящи характеристики</w:t>
      </w:r>
      <w:r w:rsidR="001F6110" w:rsidRPr="00344710">
        <w:rPr>
          <w:bCs/>
          <w:sz w:val="24"/>
          <w:szCs w:val="24"/>
        </w:rPr>
        <w:t xml:space="preserve"> и параметри</w:t>
      </w:r>
      <w:r w:rsidR="003B176E" w:rsidRPr="00344710">
        <w:rPr>
          <w:bCs/>
          <w:sz w:val="24"/>
          <w:szCs w:val="24"/>
        </w:rPr>
        <w:t xml:space="preserve">, които </w:t>
      </w:r>
      <w:r w:rsidR="001F6110" w:rsidRPr="00344710">
        <w:rPr>
          <w:bCs/>
          <w:sz w:val="24"/>
          <w:szCs w:val="24"/>
        </w:rPr>
        <w:t xml:space="preserve">даден </w:t>
      </w:r>
      <w:r w:rsidR="003B176E" w:rsidRPr="00344710">
        <w:rPr>
          <w:bCs/>
          <w:sz w:val="24"/>
          <w:szCs w:val="24"/>
        </w:rPr>
        <w:t>тип ТУМГ и/или негови съставни части, периферия и консумативи</w:t>
      </w:r>
      <w:r w:rsidR="001F6110" w:rsidRPr="00344710">
        <w:rPr>
          <w:bCs/>
          <w:sz w:val="24"/>
          <w:szCs w:val="24"/>
        </w:rPr>
        <w:t xml:space="preserve"> следва да притежават</w:t>
      </w:r>
      <w:r w:rsidRPr="00344710">
        <w:rPr>
          <w:bCs/>
          <w:sz w:val="24"/>
          <w:szCs w:val="24"/>
        </w:rPr>
        <w:t xml:space="preserve"> и които подлежат на удостоверяване</w:t>
      </w:r>
      <w:r w:rsidR="003B176E" w:rsidRPr="00344710">
        <w:rPr>
          <w:bCs/>
          <w:sz w:val="24"/>
          <w:szCs w:val="24"/>
        </w:rPr>
        <w:t xml:space="preserve">. </w:t>
      </w:r>
      <w:r w:rsidRPr="00344710">
        <w:rPr>
          <w:bCs/>
          <w:sz w:val="24"/>
          <w:szCs w:val="24"/>
        </w:rPr>
        <w:t>Т</w:t>
      </w:r>
      <w:r w:rsidR="001F6110" w:rsidRPr="00344710">
        <w:rPr>
          <w:bCs/>
          <w:sz w:val="24"/>
          <w:szCs w:val="24"/>
        </w:rPr>
        <w:t xml:space="preserve">ова може да са </w:t>
      </w:r>
      <w:r w:rsidRPr="00344710">
        <w:rPr>
          <w:bCs/>
          <w:sz w:val="24"/>
          <w:szCs w:val="24"/>
        </w:rPr>
        <w:t xml:space="preserve">официални </w:t>
      </w:r>
      <w:r w:rsidR="001F6110" w:rsidRPr="00344710">
        <w:rPr>
          <w:bCs/>
          <w:sz w:val="24"/>
          <w:szCs w:val="24"/>
        </w:rPr>
        <w:t xml:space="preserve">документи </w:t>
      </w:r>
      <w:r w:rsidRPr="00344710">
        <w:rPr>
          <w:bCs/>
          <w:sz w:val="24"/>
          <w:szCs w:val="24"/>
        </w:rPr>
        <w:t>на ЦИК под различни наименования,</w:t>
      </w:r>
      <w:r w:rsidR="001F6110" w:rsidRPr="00344710">
        <w:rPr>
          <w:bCs/>
          <w:sz w:val="24"/>
          <w:szCs w:val="24"/>
        </w:rPr>
        <w:t xml:space="preserve"> например</w:t>
      </w:r>
      <w:r w:rsidRPr="00344710">
        <w:rPr>
          <w:bCs/>
          <w:sz w:val="24"/>
          <w:szCs w:val="24"/>
        </w:rPr>
        <w:t>:</w:t>
      </w:r>
      <w:r w:rsidR="001F6110" w:rsidRPr="00344710">
        <w:rPr>
          <w:bCs/>
          <w:sz w:val="24"/>
          <w:szCs w:val="24"/>
        </w:rPr>
        <w:t xml:space="preserve"> </w:t>
      </w:r>
      <w:r w:rsidR="003B176E" w:rsidRPr="00344710">
        <w:rPr>
          <w:bCs/>
          <w:sz w:val="24"/>
          <w:szCs w:val="24"/>
        </w:rPr>
        <w:t>техническа спецификация</w:t>
      </w:r>
      <w:r w:rsidR="00050441" w:rsidRPr="00344710">
        <w:rPr>
          <w:bCs/>
          <w:sz w:val="24"/>
          <w:szCs w:val="24"/>
        </w:rPr>
        <w:t xml:space="preserve"> </w:t>
      </w:r>
      <w:r w:rsidR="00EC5309">
        <w:rPr>
          <w:bCs/>
          <w:sz w:val="24"/>
          <w:szCs w:val="24"/>
        </w:rPr>
        <w:t xml:space="preserve"> (по чл. 213а, ал. 2 от ИК), </w:t>
      </w:r>
      <w:r w:rsidR="003B176E" w:rsidRPr="00344710">
        <w:rPr>
          <w:bCs/>
          <w:sz w:val="24"/>
          <w:szCs w:val="24"/>
        </w:rPr>
        <w:t>техническо задание, технически параметри, технически характеристики</w:t>
      </w:r>
      <w:r w:rsidR="001F6110" w:rsidRPr="00344710">
        <w:rPr>
          <w:bCs/>
          <w:sz w:val="24"/>
          <w:szCs w:val="24"/>
        </w:rPr>
        <w:t xml:space="preserve"> и </w:t>
      </w:r>
      <w:r w:rsidRPr="00344710">
        <w:rPr>
          <w:bCs/>
          <w:sz w:val="24"/>
          <w:szCs w:val="24"/>
        </w:rPr>
        <w:t>т.н.</w:t>
      </w:r>
      <w:r w:rsidR="00EB67EA">
        <w:rPr>
          <w:bCs/>
          <w:sz w:val="24"/>
          <w:szCs w:val="24"/>
        </w:rPr>
        <w:t>, както и указания, които са предоставени от ЦИК в следствие на възникнали въпроси в самия процес на удостоверяване.</w:t>
      </w:r>
      <w:r w:rsidR="001F6110">
        <w:rPr>
          <w:bCs/>
          <w:sz w:val="24"/>
          <w:szCs w:val="24"/>
        </w:rPr>
        <w:t xml:space="preserve"> </w:t>
      </w:r>
    </w:p>
    <w:p w14:paraId="6C735242" w14:textId="65EAB3E5" w:rsidR="00736B1F" w:rsidRPr="00C353C9" w:rsidRDefault="001A4DB1" w:rsidP="00344710">
      <w:pPr>
        <w:spacing w:after="120" w:line="240" w:lineRule="auto"/>
        <w:jc w:val="both"/>
        <w:rPr>
          <w:bCs/>
          <w:sz w:val="24"/>
          <w:szCs w:val="24"/>
        </w:rPr>
      </w:pPr>
      <w:r w:rsidRPr="00C353C9">
        <w:rPr>
          <w:b/>
          <w:bCs/>
          <w:sz w:val="24"/>
          <w:szCs w:val="24"/>
        </w:rPr>
        <w:t xml:space="preserve">Техническа спецификация - </w:t>
      </w:r>
      <w:r w:rsidR="00736B1F" w:rsidRPr="00C353C9">
        <w:rPr>
          <w:bCs/>
          <w:sz w:val="24"/>
          <w:szCs w:val="24"/>
        </w:rPr>
        <w:t>документ,</w:t>
      </w:r>
      <w:r w:rsidR="00BA0ADB" w:rsidRPr="00C353C9">
        <w:rPr>
          <w:bCs/>
          <w:sz w:val="24"/>
          <w:szCs w:val="24"/>
        </w:rPr>
        <w:t xml:space="preserve"> създаден за конкретна обществена поръчка,</w:t>
      </w:r>
      <w:r w:rsidR="00736B1F" w:rsidRPr="00C353C9">
        <w:rPr>
          <w:bCs/>
          <w:sz w:val="24"/>
          <w:szCs w:val="24"/>
        </w:rPr>
        <w:t xml:space="preserve"> в който се определят изискваните характеристики на продукта или услугата, като равнище на качество, ниво на изпълнение спрямо изискванията за опазване на околната среда и климата, проектиране, което да отговаря на всички изисквания (включително достъп за хора с увреждания) и оценяване на съответствието, работни характеристики, приложение на продукта, безопасност или размери, включително съотносими към продукта изисквания по отношение на наименованието, под което се продава, терминология, символи, изпитване и методи на изпитване, опаковане, маркиране и етикетиране, инструкции за употреба, производствени процеси и методи на всеки етап от жизнения цикъл на доставката или услугата и процедури за оценяване на съответствието.</w:t>
      </w:r>
    </w:p>
    <w:p w14:paraId="46BD8226" w14:textId="24C253AB" w:rsidR="001B1798" w:rsidRPr="001C4A98" w:rsidRDefault="001B1798" w:rsidP="001B1798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Тип техническо устройство за машинно гласуване</w:t>
      </w:r>
      <w:r w:rsidR="00662FC6" w:rsidRPr="001C4A98">
        <w:rPr>
          <w:b/>
          <w:bCs/>
          <w:sz w:val="24"/>
          <w:szCs w:val="24"/>
        </w:rPr>
        <w:t xml:space="preserve"> </w:t>
      </w:r>
      <w:r w:rsidR="00662FC6" w:rsidRPr="001C4A98">
        <w:rPr>
          <w:bCs/>
          <w:sz w:val="24"/>
          <w:szCs w:val="24"/>
        </w:rPr>
        <w:t xml:space="preserve">е съвкупност от </w:t>
      </w:r>
      <w:r w:rsidR="00D60732" w:rsidRPr="001C4A98">
        <w:rPr>
          <w:bCs/>
          <w:sz w:val="24"/>
          <w:szCs w:val="24"/>
        </w:rPr>
        <w:t xml:space="preserve">технически </w:t>
      </w:r>
      <w:r w:rsidR="00662FC6" w:rsidRPr="001C4A98">
        <w:rPr>
          <w:bCs/>
          <w:sz w:val="24"/>
          <w:szCs w:val="24"/>
        </w:rPr>
        <w:t xml:space="preserve">устройства за </w:t>
      </w:r>
      <w:r w:rsidR="00D60732" w:rsidRPr="001C4A98">
        <w:rPr>
          <w:bCs/>
          <w:sz w:val="24"/>
          <w:szCs w:val="24"/>
        </w:rPr>
        <w:t xml:space="preserve">машинно </w:t>
      </w:r>
      <w:r w:rsidR="00662FC6" w:rsidRPr="001C4A98">
        <w:rPr>
          <w:bCs/>
          <w:sz w:val="24"/>
          <w:szCs w:val="24"/>
        </w:rPr>
        <w:t>гласуване с еднакво предназначение, основани на един и същи принцип, имащи еднаква конструкция</w:t>
      </w:r>
      <w:r w:rsidR="0096684E" w:rsidRPr="001C4A98">
        <w:rPr>
          <w:bCs/>
          <w:sz w:val="24"/>
          <w:szCs w:val="24"/>
        </w:rPr>
        <w:t>, функционалност и програмни средства</w:t>
      </w:r>
      <w:r w:rsidR="00780D9A" w:rsidRPr="001C4A98">
        <w:rPr>
          <w:bCs/>
          <w:sz w:val="24"/>
          <w:szCs w:val="24"/>
        </w:rPr>
        <w:t>,</w:t>
      </w:r>
      <w:r w:rsidR="00662FC6" w:rsidRPr="001C4A98">
        <w:rPr>
          <w:bCs/>
          <w:sz w:val="24"/>
          <w:szCs w:val="24"/>
        </w:rPr>
        <w:t xml:space="preserve"> и изработени от един и същи производител по една и съща техническа документация и технология</w:t>
      </w:r>
      <w:r w:rsidR="00662FC6" w:rsidRPr="001C4A98">
        <w:rPr>
          <w:b/>
          <w:bCs/>
          <w:sz w:val="24"/>
          <w:szCs w:val="24"/>
        </w:rPr>
        <w:t xml:space="preserve">. </w:t>
      </w:r>
    </w:p>
    <w:p w14:paraId="17759D9E" w14:textId="62EC8B0D" w:rsidR="00D87BCD" w:rsidRPr="001C4A98" w:rsidRDefault="001023E9" w:rsidP="00D87BCD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Доклад за </w:t>
      </w:r>
      <w:r w:rsidR="00352BED" w:rsidRPr="001C4A98">
        <w:rPr>
          <w:b/>
          <w:bCs/>
          <w:sz w:val="24"/>
          <w:szCs w:val="24"/>
        </w:rPr>
        <w:t xml:space="preserve">оценяване </w:t>
      </w:r>
      <w:r w:rsidRPr="001C4A98">
        <w:rPr>
          <w:b/>
          <w:bCs/>
          <w:sz w:val="24"/>
          <w:szCs w:val="24"/>
        </w:rPr>
        <w:t>на съответствието</w:t>
      </w:r>
      <w:r w:rsidRPr="001C4A98">
        <w:rPr>
          <w:bCs/>
          <w:sz w:val="24"/>
          <w:szCs w:val="24"/>
        </w:rPr>
        <w:t xml:space="preserve"> </w:t>
      </w:r>
      <w:r w:rsidR="007E4C32" w:rsidRPr="001C4A98">
        <w:rPr>
          <w:bCs/>
          <w:sz w:val="24"/>
          <w:szCs w:val="24"/>
        </w:rPr>
        <w:t>-</w:t>
      </w:r>
      <w:r w:rsidRPr="001C4A98">
        <w:rPr>
          <w:bCs/>
          <w:sz w:val="24"/>
          <w:szCs w:val="24"/>
        </w:rPr>
        <w:t xml:space="preserve"> документ</w:t>
      </w:r>
      <w:r w:rsidR="007E4C32" w:rsidRPr="001C4A98">
        <w:rPr>
          <w:bCs/>
          <w:sz w:val="24"/>
          <w:szCs w:val="24"/>
        </w:rPr>
        <w:t>,</w:t>
      </w:r>
      <w:r w:rsidRPr="001C4A98">
        <w:rPr>
          <w:bCs/>
          <w:sz w:val="24"/>
          <w:szCs w:val="24"/>
        </w:rPr>
        <w:t xml:space="preserve"> </w:t>
      </w:r>
      <w:r w:rsidR="001F3309" w:rsidRPr="001C4A98">
        <w:rPr>
          <w:bCs/>
          <w:sz w:val="24"/>
          <w:szCs w:val="24"/>
        </w:rPr>
        <w:t>предоставящ оценка на съответствието</w:t>
      </w:r>
      <w:r w:rsidR="00045561" w:rsidRPr="001C4A98">
        <w:rPr>
          <w:bCs/>
          <w:sz w:val="24"/>
          <w:szCs w:val="24"/>
        </w:rPr>
        <w:t xml:space="preserve"> с предварително определените критерии за оценяване</w:t>
      </w:r>
      <w:r w:rsidR="007E4C32" w:rsidRPr="001C4A98">
        <w:rPr>
          <w:bCs/>
          <w:sz w:val="24"/>
          <w:szCs w:val="24"/>
        </w:rPr>
        <w:t>,</w:t>
      </w:r>
      <w:r w:rsidR="001F3309" w:rsidRPr="001C4A98">
        <w:rPr>
          <w:bCs/>
          <w:sz w:val="24"/>
          <w:szCs w:val="24"/>
        </w:rPr>
        <w:t xml:space="preserve"> в резултат на </w:t>
      </w:r>
      <w:r w:rsidR="00AF4A9E" w:rsidRPr="001C4A98">
        <w:rPr>
          <w:bCs/>
          <w:sz w:val="24"/>
          <w:szCs w:val="24"/>
        </w:rPr>
        <w:t>из</w:t>
      </w:r>
      <w:r w:rsidR="001F3309" w:rsidRPr="001C4A98">
        <w:rPr>
          <w:bCs/>
          <w:sz w:val="24"/>
          <w:szCs w:val="24"/>
        </w:rPr>
        <w:t>в</w:t>
      </w:r>
      <w:r w:rsidR="00AF4A9E" w:rsidRPr="001C4A98">
        <w:rPr>
          <w:bCs/>
          <w:sz w:val="24"/>
          <w:szCs w:val="24"/>
        </w:rPr>
        <w:t>ършени</w:t>
      </w:r>
      <w:r w:rsidR="00045561" w:rsidRPr="001C4A98">
        <w:rPr>
          <w:bCs/>
          <w:sz w:val="24"/>
          <w:szCs w:val="24"/>
        </w:rPr>
        <w:t>те</w:t>
      </w:r>
      <w:r w:rsidR="00AF4A9E" w:rsidRPr="001C4A98">
        <w:rPr>
          <w:bCs/>
          <w:sz w:val="24"/>
          <w:szCs w:val="24"/>
        </w:rPr>
        <w:t xml:space="preserve"> дейности, описани в приложенията към настоящата </w:t>
      </w:r>
      <w:r w:rsidR="00AC786B" w:rsidRPr="001C4A98">
        <w:rPr>
          <w:bCs/>
          <w:sz w:val="24"/>
          <w:szCs w:val="24"/>
        </w:rPr>
        <w:t>М</w:t>
      </w:r>
      <w:r w:rsidR="00AF4A9E" w:rsidRPr="001C4A98">
        <w:rPr>
          <w:bCs/>
          <w:sz w:val="24"/>
          <w:szCs w:val="24"/>
        </w:rPr>
        <w:t xml:space="preserve">етодика. </w:t>
      </w:r>
    </w:p>
    <w:p w14:paraId="75E635F8" w14:textId="6A67E16A" w:rsidR="00F4450B" w:rsidRPr="00981395" w:rsidRDefault="00B96EE6" w:rsidP="00F4450B">
      <w:pPr>
        <w:spacing w:after="120" w:line="240" w:lineRule="auto"/>
        <w:jc w:val="both"/>
        <w:rPr>
          <w:bCs/>
          <w:color w:val="FF0000"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Екип за </w:t>
      </w:r>
      <w:r w:rsidR="0069668F" w:rsidRPr="001C4A98">
        <w:rPr>
          <w:b/>
          <w:bCs/>
          <w:sz w:val="24"/>
          <w:szCs w:val="24"/>
        </w:rPr>
        <w:t>оценяване</w:t>
      </w:r>
      <w:r w:rsidRPr="001C4A98">
        <w:rPr>
          <w:b/>
          <w:bCs/>
          <w:sz w:val="24"/>
          <w:szCs w:val="24"/>
        </w:rPr>
        <w:t xml:space="preserve"> на</w:t>
      </w:r>
      <w:r w:rsidR="007E4C32" w:rsidRPr="001C4A98">
        <w:rPr>
          <w:b/>
          <w:bCs/>
          <w:sz w:val="24"/>
          <w:szCs w:val="24"/>
        </w:rPr>
        <w:t xml:space="preserve"> съответствието -</w:t>
      </w:r>
      <w:r w:rsidR="005074E3" w:rsidRPr="001C4A98">
        <w:rPr>
          <w:b/>
          <w:bCs/>
          <w:sz w:val="24"/>
          <w:szCs w:val="24"/>
        </w:rPr>
        <w:t xml:space="preserve"> </w:t>
      </w:r>
      <w:r w:rsidR="005074E3" w:rsidRPr="001C4A98">
        <w:rPr>
          <w:bCs/>
          <w:sz w:val="24"/>
          <w:szCs w:val="24"/>
        </w:rPr>
        <w:t xml:space="preserve">специализирана група от експерти, която </w:t>
      </w:r>
      <w:r w:rsidR="00893AC1" w:rsidRPr="001C4A98">
        <w:rPr>
          <w:bCs/>
          <w:sz w:val="24"/>
          <w:szCs w:val="24"/>
        </w:rPr>
        <w:t xml:space="preserve">съобразно своята </w:t>
      </w:r>
      <w:r w:rsidR="00E24093" w:rsidRPr="001C4A98">
        <w:rPr>
          <w:bCs/>
          <w:sz w:val="24"/>
          <w:szCs w:val="24"/>
        </w:rPr>
        <w:t>компетентност</w:t>
      </w:r>
      <w:r w:rsidR="000F2643" w:rsidRPr="001C4A98">
        <w:rPr>
          <w:bCs/>
          <w:sz w:val="24"/>
          <w:szCs w:val="24"/>
        </w:rPr>
        <w:t xml:space="preserve"> осъ</w:t>
      </w:r>
      <w:r w:rsidR="00E24093" w:rsidRPr="001C4A98">
        <w:rPr>
          <w:bCs/>
          <w:sz w:val="24"/>
          <w:szCs w:val="24"/>
        </w:rPr>
        <w:t>щ</w:t>
      </w:r>
      <w:r w:rsidR="000F2643" w:rsidRPr="001C4A98">
        <w:rPr>
          <w:bCs/>
          <w:sz w:val="24"/>
          <w:szCs w:val="24"/>
        </w:rPr>
        <w:t>ествява</w:t>
      </w:r>
      <w:r w:rsidR="005074E3" w:rsidRPr="001C4A98">
        <w:rPr>
          <w:bCs/>
          <w:sz w:val="24"/>
          <w:szCs w:val="24"/>
        </w:rPr>
        <w:t xml:space="preserve"> дейностите по </w:t>
      </w:r>
      <w:r w:rsidR="00F12789" w:rsidRPr="001C4A98">
        <w:rPr>
          <w:bCs/>
          <w:sz w:val="24"/>
          <w:szCs w:val="24"/>
        </w:rPr>
        <w:t xml:space="preserve">изпитване/проверка и </w:t>
      </w:r>
      <w:r w:rsidR="0069668F" w:rsidRPr="001C4A98">
        <w:rPr>
          <w:bCs/>
          <w:sz w:val="24"/>
          <w:szCs w:val="24"/>
        </w:rPr>
        <w:t xml:space="preserve">оценяване </w:t>
      </w:r>
      <w:r w:rsidR="005074E3" w:rsidRPr="001C4A98">
        <w:rPr>
          <w:bCs/>
          <w:sz w:val="24"/>
          <w:szCs w:val="24"/>
        </w:rPr>
        <w:t xml:space="preserve">на съответствието </w:t>
      </w:r>
      <w:r w:rsidR="00893AC1" w:rsidRPr="001C4A98">
        <w:rPr>
          <w:bCs/>
          <w:sz w:val="24"/>
          <w:szCs w:val="24"/>
        </w:rPr>
        <w:t xml:space="preserve">на </w:t>
      </w:r>
      <w:r w:rsidR="00BB14B7" w:rsidRPr="001C4A98">
        <w:rPr>
          <w:bCs/>
          <w:sz w:val="24"/>
          <w:szCs w:val="24"/>
        </w:rPr>
        <w:t xml:space="preserve">доставения тип </w:t>
      </w:r>
      <w:r w:rsidR="00893AC1" w:rsidRPr="001C4A98">
        <w:rPr>
          <w:bCs/>
          <w:sz w:val="24"/>
          <w:szCs w:val="24"/>
        </w:rPr>
        <w:t xml:space="preserve">ТУМГ, описани в приложенията към </w:t>
      </w:r>
      <w:r w:rsidR="0069668F" w:rsidRPr="001C4A98">
        <w:rPr>
          <w:bCs/>
          <w:sz w:val="24"/>
          <w:szCs w:val="24"/>
        </w:rPr>
        <w:t>Методиката</w:t>
      </w:r>
      <w:r w:rsidR="005074E3" w:rsidRPr="001C4A98">
        <w:rPr>
          <w:bCs/>
          <w:sz w:val="24"/>
          <w:szCs w:val="24"/>
        </w:rPr>
        <w:t>.</w:t>
      </w:r>
      <w:r w:rsidR="00F4450B" w:rsidRPr="001C4A98">
        <w:rPr>
          <w:bCs/>
          <w:sz w:val="24"/>
          <w:szCs w:val="24"/>
        </w:rPr>
        <w:t xml:space="preserve"> </w:t>
      </w:r>
    </w:p>
    <w:p w14:paraId="1BB1574B" w14:textId="4197C804" w:rsidR="001D302F" w:rsidRPr="001C4A98" w:rsidRDefault="001D302F" w:rsidP="00AF0DE7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Записващо техническо </w:t>
      </w:r>
      <w:r w:rsidR="00D9198E" w:rsidRPr="001C4A98">
        <w:rPr>
          <w:b/>
          <w:bCs/>
          <w:sz w:val="24"/>
          <w:szCs w:val="24"/>
        </w:rPr>
        <w:t xml:space="preserve">устройство </w:t>
      </w:r>
      <w:r w:rsidRPr="001C4A98">
        <w:rPr>
          <w:b/>
          <w:bCs/>
          <w:sz w:val="24"/>
          <w:szCs w:val="24"/>
        </w:rPr>
        <w:t>(ЗТУ)</w:t>
      </w:r>
      <w:r w:rsidR="003D0C60" w:rsidRPr="001C4A98">
        <w:rPr>
          <w:b/>
          <w:bCs/>
          <w:sz w:val="24"/>
          <w:szCs w:val="24"/>
        </w:rPr>
        <w:t>/</w:t>
      </w:r>
      <w:r w:rsidRPr="001C4A98">
        <w:rPr>
          <w:b/>
          <w:bCs/>
          <w:sz w:val="24"/>
          <w:szCs w:val="24"/>
        </w:rPr>
        <w:t xml:space="preserve"> контролна памет </w:t>
      </w:r>
      <w:r w:rsidR="009B3603" w:rsidRPr="001C4A98">
        <w:rPr>
          <w:bCs/>
          <w:sz w:val="24"/>
          <w:szCs w:val="24"/>
        </w:rPr>
        <w:t>-</w:t>
      </w:r>
      <w:r w:rsidRPr="001C4A98">
        <w:rPr>
          <w:bCs/>
          <w:sz w:val="24"/>
          <w:szCs w:val="24"/>
        </w:rPr>
        <w:t xml:space="preserve"> носител на информация</w:t>
      </w:r>
      <w:r w:rsidR="003D0C60" w:rsidRPr="001C4A98">
        <w:rPr>
          <w:bCs/>
          <w:sz w:val="24"/>
          <w:szCs w:val="24"/>
        </w:rPr>
        <w:t xml:space="preserve"> по </w:t>
      </w:r>
      <w:r w:rsidR="00A87E73" w:rsidRPr="001C4A98">
        <w:rPr>
          <w:bCs/>
          <w:sz w:val="24"/>
          <w:szCs w:val="24"/>
        </w:rPr>
        <w:t>чл. 28</w:t>
      </w:r>
      <w:r w:rsidR="00873794" w:rsidRPr="001C4A98">
        <w:rPr>
          <w:bCs/>
          <w:sz w:val="24"/>
          <w:szCs w:val="24"/>
        </w:rPr>
        <w:t>1</w:t>
      </w:r>
      <w:r w:rsidR="00A87E73" w:rsidRPr="001C4A98">
        <w:rPr>
          <w:bCs/>
          <w:sz w:val="24"/>
          <w:szCs w:val="24"/>
        </w:rPr>
        <w:t>, ал</w:t>
      </w:r>
      <w:r w:rsidR="006D527C">
        <w:rPr>
          <w:bCs/>
          <w:sz w:val="24"/>
          <w:szCs w:val="24"/>
        </w:rPr>
        <w:t>.</w:t>
      </w:r>
      <w:r w:rsidR="00A87E73" w:rsidRPr="001C4A98">
        <w:rPr>
          <w:bCs/>
          <w:sz w:val="24"/>
          <w:szCs w:val="24"/>
        </w:rPr>
        <w:t xml:space="preserve"> </w:t>
      </w:r>
      <w:r w:rsidR="00873794" w:rsidRPr="001C4A98">
        <w:rPr>
          <w:bCs/>
          <w:sz w:val="24"/>
          <w:szCs w:val="24"/>
        </w:rPr>
        <w:t>4</w:t>
      </w:r>
      <w:r w:rsidR="00A87E73" w:rsidRPr="001C4A98">
        <w:rPr>
          <w:bCs/>
          <w:sz w:val="24"/>
          <w:szCs w:val="24"/>
        </w:rPr>
        <w:t xml:space="preserve"> </w:t>
      </w:r>
      <w:r w:rsidR="009C2ECE">
        <w:rPr>
          <w:bCs/>
          <w:sz w:val="24"/>
          <w:szCs w:val="24"/>
        </w:rPr>
        <w:t>о</w:t>
      </w:r>
      <w:r w:rsidR="00A87E73" w:rsidRPr="001C4A98">
        <w:rPr>
          <w:bCs/>
          <w:sz w:val="24"/>
          <w:szCs w:val="24"/>
        </w:rPr>
        <w:t>т Изборния кодекс</w:t>
      </w:r>
      <w:r w:rsidR="003D0C60" w:rsidRPr="001C4A98">
        <w:rPr>
          <w:bCs/>
          <w:sz w:val="24"/>
          <w:szCs w:val="24"/>
        </w:rPr>
        <w:t>, върху който са записани уникални за всяка изборна секция данни за нуждите на изборния процес</w:t>
      </w:r>
      <w:r w:rsidR="007628D9" w:rsidRPr="001C4A98">
        <w:rPr>
          <w:bCs/>
          <w:sz w:val="24"/>
          <w:szCs w:val="24"/>
        </w:rPr>
        <w:t xml:space="preserve">, </w:t>
      </w:r>
      <w:r w:rsidR="006D527C">
        <w:rPr>
          <w:bCs/>
          <w:sz w:val="24"/>
          <w:szCs w:val="24"/>
        </w:rPr>
        <w:t>както и софтуера</w:t>
      </w:r>
      <w:r w:rsidR="003F6995" w:rsidRPr="001C4A98">
        <w:rPr>
          <w:bCs/>
          <w:sz w:val="24"/>
          <w:szCs w:val="24"/>
        </w:rPr>
        <w:t xml:space="preserve"> за криптиране на информацията върху контролната памет и за идентификация и удостоверяване на предоставени права. </w:t>
      </w:r>
      <w:r w:rsidR="003D0C60" w:rsidRPr="001C4A98">
        <w:rPr>
          <w:bCs/>
          <w:sz w:val="24"/>
          <w:szCs w:val="24"/>
        </w:rPr>
        <w:t>За да се избегне риск</w:t>
      </w:r>
      <w:r w:rsidR="006A6F1E" w:rsidRPr="001C4A98">
        <w:rPr>
          <w:bCs/>
          <w:sz w:val="24"/>
          <w:szCs w:val="24"/>
        </w:rPr>
        <w:t>ът</w:t>
      </w:r>
      <w:r w:rsidR="003D0C60" w:rsidRPr="001C4A98">
        <w:rPr>
          <w:bCs/>
          <w:sz w:val="24"/>
          <w:szCs w:val="24"/>
        </w:rPr>
        <w:t xml:space="preserve"> от объркване</w:t>
      </w:r>
      <w:r w:rsidR="00555DF3" w:rsidRPr="001C4A98">
        <w:rPr>
          <w:bCs/>
          <w:sz w:val="24"/>
          <w:szCs w:val="24"/>
        </w:rPr>
        <w:t>,</w:t>
      </w:r>
      <w:r w:rsidR="003D0C60" w:rsidRPr="001C4A98">
        <w:rPr>
          <w:bCs/>
          <w:sz w:val="24"/>
          <w:szCs w:val="24"/>
        </w:rPr>
        <w:t xml:space="preserve"> по-нататък в този документ се използва</w:t>
      </w:r>
      <w:r w:rsidR="00893AC1" w:rsidRPr="001C4A98">
        <w:rPr>
          <w:bCs/>
          <w:sz w:val="24"/>
          <w:szCs w:val="24"/>
        </w:rPr>
        <w:t xml:space="preserve"> само термина записващо техническо устройство /</w:t>
      </w:r>
      <w:r w:rsidR="003D0C60" w:rsidRPr="001C4A98">
        <w:rPr>
          <w:bCs/>
          <w:sz w:val="24"/>
          <w:szCs w:val="24"/>
        </w:rPr>
        <w:t>ЗТУ</w:t>
      </w:r>
      <w:r w:rsidR="00893AC1" w:rsidRPr="001C4A98">
        <w:rPr>
          <w:bCs/>
          <w:sz w:val="24"/>
          <w:szCs w:val="24"/>
        </w:rPr>
        <w:t>/</w:t>
      </w:r>
      <w:r w:rsidR="003D0C60" w:rsidRPr="001C4A98">
        <w:rPr>
          <w:bCs/>
          <w:sz w:val="24"/>
          <w:szCs w:val="24"/>
        </w:rPr>
        <w:t>.</w:t>
      </w:r>
    </w:p>
    <w:p w14:paraId="4A551531" w14:textId="132EA4FA" w:rsidR="00EF14AB" w:rsidRPr="001C4A98" w:rsidRDefault="00EF14AB" w:rsidP="00EF14AB">
      <w:pPr>
        <w:pStyle w:val="NormalWeb"/>
        <w:spacing w:before="240" w:beforeAutospacing="0" w:after="240" w:afterAutospacing="0" w:line="240" w:lineRule="atLeast"/>
        <w:jc w:val="both"/>
        <w:rPr>
          <w:rFonts w:asciiTheme="minorHAnsi" w:hAnsiTheme="minorHAnsi" w:cs="Tahoma"/>
        </w:rPr>
      </w:pPr>
      <w:r w:rsidRPr="001C4A98">
        <w:rPr>
          <w:rFonts w:asciiTheme="minorHAnsi" w:hAnsiTheme="minorHAnsi" w:cs="Tahoma"/>
          <w:b/>
        </w:rPr>
        <w:t>Проверка</w:t>
      </w:r>
      <w:r w:rsidRPr="001C4A98">
        <w:rPr>
          <w:rFonts w:asciiTheme="minorHAnsi" w:hAnsiTheme="minorHAnsi" w:cs="Tahoma"/>
        </w:rPr>
        <w:t xml:space="preserve"> - планирани дейности като тестване, изпитване, изследване и др., в резултат на които се получават доказателства, информация и констатации, на базата на които се  </w:t>
      </w:r>
      <w:r w:rsidRPr="001C4A98">
        <w:rPr>
          <w:rFonts w:asciiTheme="minorHAnsi" w:hAnsiTheme="minorHAnsi" w:cs="Tahoma"/>
        </w:rPr>
        <w:lastRenderedPageBreak/>
        <w:t xml:space="preserve">извършва оценяване на съответствието с </w:t>
      </w:r>
      <w:r w:rsidR="00A87E73" w:rsidRPr="001C4A98">
        <w:rPr>
          <w:rFonts w:asciiTheme="minorHAnsi" w:hAnsiTheme="minorHAnsi" w:cs="Tahoma"/>
        </w:rPr>
        <w:t xml:space="preserve">предварително определените </w:t>
      </w:r>
      <w:r w:rsidRPr="001C4A98">
        <w:rPr>
          <w:rFonts w:asciiTheme="minorHAnsi" w:hAnsiTheme="minorHAnsi" w:cs="Tahoma"/>
        </w:rPr>
        <w:t>критерии за оценяване.</w:t>
      </w:r>
    </w:p>
    <w:p w14:paraId="7740E173" w14:textId="07ACFBE1" w:rsidR="00EF14AB" w:rsidRPr="001C4A98" w:rsidRDefault="00EF14AB" w:rsidP="00EF14AB">
      <w:pPr>
        <w:spacing w:before="240" w:after="240" w:line="240" w:lineRule="atLeast"/>
        <w:jc w:val="both"/>
        <w:rPr>
          <w:rFonts w:asciiTheme="minorHAnsi" w:hAnsiTheme="minorHAnsi" w:cs="Tahoma"/>
          <w:sz w:val="24"/>
          <w:szCs w:val="24"/>
        </w:rPr>
      </w:pPr>
      <w:r w:rsidRPr="001C4A98">
        <w:rPr>
          <w:rFonts w:asciiTheme="minorHAnsi" w:hAnsiTheme="minorHAnsi" w:cs="Tahoma"/>
          <w:b/>
          <w:sz w:val="24"/>
          <w:szCs w:val="24"/>
        </w:rPr>
        <w:t>Съответствие</w:t>
      </w:r>
      <w:r w:rsidR="0032459C" w:rsidRPr="001C4A98">
        <w:rPr>
          <w:rFonts w:asciiTheme="minorHAnsi" w:hAnsiTheme="minorHAnsi" w:cs="Tahoma"/>
          <w:sz w:val="24"/>
          <w:szCs w:val="24"/>
        </w:rPr>
        <w:t xml:space="preserve"> - </w:t>
      </w:r>
      <w:r w:rsidRPr="001C4A98">
        <w:rPr>
          <w:rFonts w:asciiTheme="minorHAnsi" w:hAnsiTheme="minorHAnsi" w:cs="Tahoma"/>
          <w:sz w:val="24"/>
          <w:szCs w:val="24"/>
        </w:rPr>
        <w:t xml:space="preserve">изпълнение на изискване, условие или очакване, което е документирано, обикновено е подразбиращо </w:t>
      </w:r>
      <w:r w:rsidR="0032459C" w:rsidRPr="001C4A98">
        <w:rPr>
          <w:rFonts w:asciiTheme="minorHAnsi" w:hAnsiTheme="minorHAnsi" w:cs="Tahoma"/>
          <w:sz w:val="24"/>
          <w:szCs w:val="24"/>
        </w:rPr>
        <w:t xml:space="preserve">се или задължително. </w:t>
      </w:r>
      <w:r w:rsidR="0032459C" w:rsidRPr="00852D83">
        <w:rPr>
          <w:rFonts w:asciiTheme="minorHAnsi" w:hAnsiTheme="minorHAnsi" w:cs="Tahoma"/>
          <w:sz w:val="24"/>
          <w:szCs w:val="24"/>
        </w:rPr>
        <w:t xml:space="preserve">В случая - </w:t>
      </w:r>
      <w:r w:rsidRPr="00852D83">
        <w:rPr>
          <w:rFonts w:asciiTheme="minorHAnsi" w:hAnsiTheme="minorHAnsi" w:cs="Tahoma"/>
          <w:sz w:val="24"/>
          <w:szCs w:val="24"/>
        </w:rPr>
        <w:t xml:space="preserve">изпълнение на изискванията на чл. 213, ал. 3 от Изборния кодекс и на </w:t>
      </w:r>
      <w:r w:rsidR="00A87E73" w:rsidRPr="00852D83">
        <w:rPr>
          <w:bCs/>
          <w:sz w:val="24"/>
          <w:szCs w:val="24"/>
        </w:rPr>
        <w:t xml:space="preserve">техническите изисквания към апаратната и програмната част на техническите устройства за машинно гласуване, които </w:t>
      </w:r>
      <w:r w:rsidR="002B1EEF" w:rsidRPr="00852D83">
        <w:rPr>
          <w:bCs/>
          <w:sz w:val="24"/>
          <w:szCs w:val="24"/>
        </w:rPr>
        <w:t>допълнително се определят</w:t>
      </w:r>
      <w:r w:rsidR="00A87E73" w:rsidRPr="00852D83">
        <w:rPr>
          <w:bCs/>
          <w:sz w:val="24"/>
          <w:szCs w:val="24"/>
        </w:rPr>
        <w:t xml:space="preserve"> от Централната избирателна комисия</w:t>
      </w:r>
      <w:r w:rsidRPr="00852D83">
        <w:rPr>
          <w:rFonts w:asciiTheme="minorHAnsi" w:hAnsiTheme="minorHAnsi" w:cs="Tahoma"/>
          <w:sz w:val="24"/>
          <w:szCs w:val="24"/>
        </w:rPr>
        <w:t>.</w:t>
      </w:r>
      <w:r w:rsidRPr="001C4A98">
        <w:rPr>
          <w:rFonts w:asciiTheme="minorHAnsi" w:hAnsiTheme="minorHAnsi" w:cs="Tahoma"/>
          <w:sz w:val="24"/>
          <w:szCs w:val="24"/>
        </w:rPr>
        <w:t> </w:t>
      </w:r>
    </w:p>
    <w:p w14:paraId="0F15F1A4" w14:textId="11AF5E03" w:rsidR="00EF14AB" w:rsidRPr="001C4A98" w:rsidRDefault="00EF14AB" w:rsidP="00EF14AB">
      <w:pPr>
        <w:spacing w:before="100" w:after="10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1C4A98">
        <w:rPr>
          <w:rFonts w:asciiTheme="minorHAnsi" w:hAnsiTheme="minorHAnsi" w:cs="Tahoma"/>
          <w:b/>
          <w:sz w:val="24"/>
          <w:szCs w:val="24"/>
        </w:rPr>
        <w:t xml:space="preserve">Доказателства </w:t>
      </w:r>
      <w:r w:rsidRPr="001C4A98">
        <w:rPr>
          <w:rFonts w:asciiTheme="minorHAnsi" w:hAnsiTheme="minorHAnsi" w:cs="Tahoma"/>
          <w:sz w:val="24"/>
          <w:szCs w:val="24"/>
        </w:rPr>
        <w:t>от изпитвания</w:t>
      </w:r>
      <w:r w:rsidR="00A87E73" w:rsidRPr="001C4A98">
        <w:rPr>
          <w:rFonts w:asciiTheme="minorHAnsi" w:hAnsiTheme="minorHAnsi" w:cs="Tahoma"/>
          <w:sz w:val="24"/>
          <w:szCs w:val="24"/>
        </w:rPr>
        <w:t xml:space="preserve"> и</w:t>
      </w:r>
      <w:r w:rsidR="000A7F8D" w:rsidRPr="001C4A98">
        <w:rPr>
          <w:rFonts w:asciiTheme="minorHAnsi" w:hAnsiTheme="minorHAnsi" w:cs="Tahoma"/>
          <w:sz w:val="24"/>
          <w:szCs w:val="24"/>
        </w:rPr>
        <w:t>/</w:t>
      </w:r>
      <w:r w:rsidR="00A87E73" w:rsidRPr="001C4A98">
        <w:rPr>
          <w:rFonts w:asciiTheme="minorHAnsi" w:hAnsiTheme="minorHAnsi" w:cs="Tahoma"/>
          <w:sz w:val="24"/>
          <w:szCs w:val="24"/>
        </w:rPr>
        <w:t xml:space="preserve">или </w:t>
      </w:r>
      <w:r w:rsidRPr="001C4A98">
        <w:rPr>
          <w:rFonts w:asciiTheme="minorHAnsi" w:hAnsiTheme="minorHAnsi" w:cs="Tahoma"/>
          <w:sz w:val="24"/>
          <w:szCs w:val="24"/>
        </w:rPr>
        <w:t>проверки - записи, излагане на факти или друга информация, които са свързани с критериите за оценяване</w:t>
      </w:r>
      <w:r w:rsidR="004B784D" w:rsidRPr="001C4A98">
        <w:rPr>
          <w:rFonts w:asciiTheme="minorHAnsi" w:hAnsiTheme="minorHAnsi" w:cs="Tahoma"/>
          <w:sz w:val="24"/>
          <w:szCs w:val="24"/>
        </w:rPr>
        <w:t>,</w:t>
      </w:r>
      <w:r w:rsidRPr="001C4A98">
        <w:rPr>
          <w:rFonts w:asciiTheme="minorHAnsi" w:hAnsiTheme="minorHAnsi" w:cs="Tahoma"/>
          <w:sz w:val="24"/>
          <w:szCs w:val="24"/>
        </w:rPr>
        <w:t xml:space="preserve"> и които може да бъдат проверени.</w:t>
      </w:r>
    </w:p>
    <w:p w14:paraId="57E3D39A" w14:textId="485D07DA" w:rsidR="00EF14AB" w:rsidRPr="001C4A98" w:rsidRDefault="00EF14AB" w:rsidP="00EF14AB">
      <w:pPr>
        <w:spacing w:before="100" w:after="10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1C4A98">
        <w:rPr>
          <w:rFonts w:asciiTheme="minorHAnsi" w:hAnsiTheme="minorHAnsi" w:cs="Tahoma"/>
          <w:b/>
          <w:sz w:val="24"/>
          <w:szCs w:val="24"/>
        </w:rPr>
        <w:t xml:space="preserve">Констатации </w:t>
      </w:r>
      <w:r w:rsidRPr="001C4A98">
        <w:rPr>
          <w:rFonts w:asciiTheme="minorHAnsi" w:hAnsiTheme="minorHAnsi" w:cs="Tahoma"/>
          <w:sz w:val="24"/>
          <w:szCs w:val="24"/>
        </w:rPr>
        <w:t>от изпитвания</w:t>
      </w:r>
      <w:r w:rsidR="000A7F8D" w:rsidRPr="001C4A98">
        <w:rPr>
          <w:rFonts w:asciiTheme="minorHAnsi" w:hAnsiTheme="minorHAnsi" w:cs="Tahoma"/>
          <w:sz w:val="24"/>
          <w:szCs w:val="24"/>
        </w:rPr>
        <w:t xml:space="preserve"> и/или </w:t>
      </w:r>
      <w:r w:rsidRPr="001C4A98">
        <w:rPr>
          <w:rFonts w:asciiTheme="minorHAnsi" w:hAnsiTheme="minorHAnsi" w:cs="Tahoma"/>
          <w:sz w:val="24"/>
          <w:szCs w:val="24"/>
        </w:rPr>
        <w:t>проверки</w:t>
      </w:r>
      <w:r w:rsidR="000A7F8D" w:rsidRPr="001C4A98">
        <w:rPr>
          <w:rFonts w:asciiTheme="minorHAnsi" w:hAnsiTheme="minorHAnsi" w:cs="Tahoma"/>
          <w:sz w:val="24"/>
          <w:szCs w:val="24"/>
        </w:rPr>
        <w:t>, извършени по отношение</w:t>
      </w:r>
      <w:r w:rsidRPr="001C4A98">
        <w:rPr>
          <w:rFonts w:asciiTheme="minorHAnsi" w:hAnsiTheme="minorHAnsi" w:cs="Tahoma"/>
          <w:sz w:val="24"/>
          <w:szCs w:val="24"/>
        </w:rPr>
        <w:t xml:space="preserve"> на доставения тип ТУМГ - резултати от оценяването на събраните доказателства и информация от изпитванията/проверките на ТУМГ спрямо критериите за оценяване. </w:t>
      </w:r>
    </w:p>
    <w:p w14:paraId="5A39AF88" w14:textId="162C6023" w:rsidR="00EF14AB" w:rsidRPr="001C4A98" w:rsidRDefault="00EF14AB" w:rsidP="00EF14AB">
      <w:pPr>
        <w:spacing w:before="100" w:beforeAutospacing="1" w:after="100" w:afterAutospacing="1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1C4A98">
        <w:rPr>
          <w:rFonts w:asciiTheme="minorHAnsi" w:hAnsiTheme="minorHAnsi" w:cs="Tahoma"/>
          <w:b/>
          <w:sz w:val="24"/>
          <w:szCs w:val="24"/>
        </w:rPr>
        <w:t>Критерии за оценяване</w:t>
      </w:r>
      <w:r w:rsidR="00ED6327" w:rsidRPr="001C4A98">
        <w:rPr>
          <w:rFonts w:asciiTheme="minorHAnsi" w:hAnsiTheme="minorHAnsi" w:cs="Tahoma"/>
          <w:sz w:val="24"/>
          <w:szCs w:val="24"/>
        </w:rPr>
        <w:t xml:space="preserve"> -</w:t>
      </w:r>
      <w:r w:rsidRPr="001C4A98">
        <w:rPr>
          <w:rFonts w:asciiTheme="minorHAnsi" w:hAnsiTheme="minorHAnsi" w:cs="Tahoma"/>
          <w:sz w:val="24"/>
          <w:szCs w:val="24"/>
        </w:rPr>
        <w:t xml:space="preserve"> стандарти, законови, нормативни и договорни изисквания, условия или набор от изисквания и условия, на</w:t>
      </w:r>
      <w:r w:rsidR="00E13659" w:rsidRPr="001C4A98">
        <w:rPr>
          <w:rFonts w:asciiTheme="minorHAnsi" w:hAnsiTheme="minorHAnsi" w:cs="Tahoma"/>
          <w:sz w:val="24"/>
          <w:szCs w:val="24"/>
        </w:rPr>
        <w:t xml:space="preserve"> които следва да отговаря обектът</w:t>
      </w:r>
      <w:r w:rsidRPr="001C4A98">
        <w:rPr>
          <w:rFonts w:asciiTheme="minorHAnsi" w:hAnsiTheme="minorHAnsi" w:cs="Tahoma"/>
          <w:sz w:val="24"/>
          <w:szCs w:val="24"/>
        </w:rPr>
        <w:t xml:space="preserve"> на оценяване. Критериите за оценяване се използват като указания и еталон, с който се сравняват получените резултати, доказателства и констатации от изпитванията и проверките, за да се определи съответствието. </w:t>
      </w:r>
      <w:r w:rsidR="005C2053" w:rsidRPr="001C4A98">
        <w:rPr>
          <w:rFonts w:asciiTheme="minorHAnsi" w:hAnsiTheme="minorHAnsi" w:cs="Tahoma"/>
          <w:sz w:val="24"/>
          <w:szCs w:val="24"/>
        </w:rPr>
        <w:t xml:space="preserve">В процеса на </w:t>
      </w:r>
      <w:r w:rsidRPr="001C4A98">
        <w:rPr>
          <w:rFonts w:asciiTheme="minorHAnsi" w:hAnsiTheme="minorHAnsi" w:cs="Tahoma"/>
          <w:sz w:val="24"/>
          <w:szCs w:val="24"/>
        </w:rPr>
        <w:t>удостоверяване на съответствието се използва подход за оценяване, основан на доказателства и констатации от извършените изпитвания и проверки на доставения тип ТУМГ.</w:t>
      </w:r>
    </w:p>
    <w:p w14:paraId="0ADA2C76" w14:textId="77777777" w:rsidR="00045561" w:rsidRPr="001C4A98" w:rsidRDefault="00045561" w:rsidP="00045561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Коригиращо действие</w:t>
      </w:r>
      <w:r w:rsidRPr="001C4A98">
        <w:rPr>
          <w:bCs/>
          <w:sz w:val="24"/>
          <w:szCs w:val="24"/>
        </w:rPr>
        <w:t xml:space="preserve"> -  действие за отстраняване на причината за констатирано несъответствие и/или за предотвратяване на повторното му възникване. </w:t>
      </w:r>
    </w:p>
    <w:p w14:paraId="7D6E96CF" w14:textId="28702955" w:rsidR="001023E9" w:rsidRPr="001C4A98" w:rsidRDefault="001023E9" w:rsidP="001023E9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СИК </w:t>
      </w:r>
      <w:r w:rsidR="00ED6327" w:rsidRPr="001C4A98">
        <w:rPr>
          <w:bCs/>
          <w:sz w:val="24"/>
          <w:szCs w:val="24"/>
        </w:rPr>
        <w:t>-</w:t>
      </w:r>
      <w:r w:rsidRPr="001C4A98">
        <w:rPr>
          <w:bCs/>
          <w:sz w:val="24"/>
          <w:szCs w:val="24"/>
        </w:rPr>
        <w:t xml:space="preserve"> секционна избирателна комисия</w:t>
      </w:r>
      <w:r w:rsidR="000077D6" w:rsidRPr="001C4A98">
        <w:rPr>
          <w:bCs/>
          <w:sz w:val="24"/>
          <w:szCs w:val="24"/>
        </w:rPr>
        <w:t>.</w:t>
      </w:r>
    </w:p>
    <w:p w14:paraId="169C76BE" w14:textId="20BD3488" w:rsidR="00B96EE6" w:rsidRPr="001C4A98" w:rsidRDefault="001F3309" w:rsidP="00AF0DE7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Смарткарта - </w:t>
      </w:r>
      <w:r w:rsidR="00893AC1" w:rsidRPr="001C4A98">
        <w:rPr>
          <w:bCs/>
          <w:sz w:val="24"/>
          <w:szCs w:val="24"/>
        </w:rPr>
        <w:t>средство за оторизация</w:t>
      </w:r>
      <w:r w:rsidR="000A7F8D" w:rsidRPr="001C4A98">
        <w:rPr>
          <w:bCs/>
          <w:sz w:val="24"/>
          <w:szCs w:val="24"/>
        </w:rPr>
        <w:t xml:space="preserve"> по чл. 268, ал. 2</w:t>
      </w:r>
      <w:r w:rsidR="004D6C7D">
        <w:rPr>
          <w:bCs/>
          <w:sz w:val="24"/>
          <w:szCs w:val="24"/>
        </w:rPr>
        <w:t xml:space="preserve"> от Изборния кодекс</w:t>
      </w:r>
      <w:r w:rsidR="00B96EE6" w:rsidRPr="001C4A98">
        <w:rPr>
          <w:bCs/>
          <w:sz w:val="24"/>
          <w:szCs w:val="24"/>
        </w:rPr>
        <w:t xml:space="preserve">, </w:t>
      </w:r>
      <w:r w:rsidR="0069668F" w:rsidRPr="001C4A98">
        <w:rPr>
          <w:bCs/>
          <w:sz w:val="24"/>
          <w:szCs w:val="24"/>
        </w:rPr>
        <w:t xml:space="preserve">предназначено за </w:t>
      </w:r>
      <w:r w:rsidR="00B96EE6" w:rsidRPr="001C4A98">
        <w:rPr>
          <w:bCs/>
          <w:sz w:val="24"/>
          <w:szCs w:val="24"/>
        </w:rPr>
        <w:t>използван</w:t>
      </w:r>
      <w:r w:rsidR="0069668F" w:rsidRPr="001C4A98">
        <w:rPr>
          <w:bCs/>
          <w:sz w:val="24"/>
          <w:szCs w:val="24"/>
        </w:rPr>
        <w:t>е</w:t>
      </w:r>
      <w:r w:rsidR="00B96EE6" w:rsidRPr="001C4A98">
        <w:rPr>
          <w:bCs/>
          <w:sz w:val="24"/>
          <w:szCs w:val="24"/>
        </w:rPr>
        <w:t xml:space="preserve"> от </w:t>
      </w:r>
      <w:r w:rsidR="00C811E7" w:rsidRPr="001C4A98">
        <w:rPr>
          <w:bCs/>
          <w:sz w:val="24"/>
          <w:szCs w:val="24"/>
        </w:rPr>
        <w:t xml:space="preserve">оторизирани </w:t>
      </w:r>
      <w:r w:rsidR="001A154C" w:rsidRPr="001C4A98">
        <w:rPr>
          <w:bCs/>
          <w:sz w:val="24"/>
          <w:szCs w:val="24"/>
        </w:rPr>
        <w:t xml:space="preserve">представители на изборната администрация и от избирателите </w:t>
      </w:r>
      <w:r w:rsidR="00B96EE6" w:rsidRPr="001C4A98">
        <w:rPr>
          <w:bCs/>
          <w:sz w:val="24"/>
          <w:szCs w:val="24"/>
        </w:rPr>
        <w:t>за удостоверяване  правото</w:t>
      </w:r>
      <w:r w:rsidR="007538C2" w:rsidRPr="001C4A98">
        <w:rPr>
          <w:bCs/>
          <w:sz w:val="24"/>
          <w:szCs w:val="24"/>
        </w:rPr>
        <w:t xml:space="preserve"> </w:t>
      </w:r>
      <w:r w:rsidR="00B96EE6" w:rsidRPr="001C4A98">
        <w:rPr>
          <w:bCs/>
          <w:sz w:val="24"/>
          <w:szCs w:val="24"/>
        </w:rPr>
        <w:t xml:space="preserve">за извършване на дадено действие. Ведно с апаратните и програмните средства на </w:t>
      </w:r>
      <w:r w:rsidR="007628D9" w:rsidRPr="001C4A98">
        <w:rPr>
          <w:bCs/>
          <w:sz w:val="24"/>
          <w:szCs w:val="24"/>
        </w:rPr>
        <w:t>Т</w:t>
      </w:r>
      <w:r w:rsidR="00B96EE6" w:rsidRPr="001C4A98">
        <w:rPr>
          <w:bCs/>
          <w:sz w:val="24"/>
          <w:szCs w:val="24"/>
        </w:rPr>
        <w:t xml:space="preserve">УМГ </w:t>
      </w:r>
      <w:r w:rsidR="000D5621" w:rsidRPr="001C4A98">
        <w:rPr>
          <w:bCs/>
          <w:sz w:val="24"/>
          <w:szCs w:val="24"/>
        </w:rPr>
        <w:t>осигурява</w:t>
      </w:r>
      <w:r w:rsidR="00B96EE6" w:rsidRPr="001C4A98">
        <w:rPr>
          <w:bCs/>
          <w:sz w:val="24"/>
          <w:szCs w:val="24"/>
        </w:rPr>
        <w:t xml:space="preserve"> тайната на гласуването по чл. 213</w:t>
      </w:r>
      <w:r w:rsidR="000D5621" w:rsidRPr="001C4A98">
        <w:rPr>
          <w:bCs/>
          <w:sz w:val="24"/>
          <w:szCs w:val="24"/>
        </w:rPr>
        <w:t xml:space="preserve">, ал. </w:t>
      </w:r>
      <w:r w:rsidR="00B96EE6" w:rsidRPr="001C4A98">
        <w:rPr>
          <w:bCs/>
          <w:sz w:val="24"/>
          <w:szCs w:val="24"/>
        </w:rPr>
        <w:t>2, т. 4, 9 и 10 от И</w:t>
      </w:r>
      <w:r w:rsidR="000D5621" w:rsidRPr="001C4A98">
        <w:rPr>
          <w:bCs/>
          <w:sz w:val="24"/>
          <w:szCs w:val="24"/>
        </w:rPr>
        <w:t>зборния кодекс</w:t>
      </w:r>
      <w:r w:rsidR="00B96EE6" w:rsidRPr="001C4A98">
        <w:rPr>
          <w:bCs/>
          <w:sz w:val="24"/>
          <w:szCs w:val="24"/>
        </w:rPr>
        <w:t xml:space="preserve">, </w:t>
      </w:r>
      <w:r w:rsidR="007E13D5" w:rsidRPr="001C4A98">
        <w:rPr>
          <w:bCs/>
          <w:sz w:val="24"/>
          <w:szCs w:val="24"/>
        </w:rPr>
        <w:t>както и</w:t>
      </w:r>
      <w:r w:rsidR="00B96EE6" w:rsidRPr="001C4A98">
        <w:rPr>
          <w:bCs/>
          <w:sz w:val="24"/>
          <w:szCs w:val="24"/>
        </w:rPr>
        <w:t xml:space="preserve"> идентификация</w:t>
      </w:r>
      <w:r w:rsidR="00BE309F" w:rsidRPr="001C4A98">
        <w:rPr>
          <w:bCs/>
          <w:sz w:val="24"/>
          <w:szCs w:val="24"/>
        </w:rPr>
        <w:t>та</w:t>
      </w:r>
      <w:r w:rsidR="00B96EE6" w:rsidRPr="001C4A98">
        <w:rPr>
          <w:bCs/>
          <w:sz w:val="24"/>
          <w:szCs w:val="24"/>
        </w:rPr>
        <w:t xml:space="preserve"> на </w:t>
      </w:r>
      <w:r w:rsidR="00C811E7" w:rsidRPr="001C4A98">
        <w:rPr>
          <w:bCs/>
          <w:sz w:val="24"/>
          <w:szCs w:val="24"/>
        </w:rPr>
        <w:t>оторизираните</w:t>
      </w:r>
      <w:r w:rsidR="005F26A6" w:rsidRPr="001C4A98">
        <w:rPr>
          <w:bCs/>
          <w:sz w:val="24"/>
          <w:szCs w:val="24"/>
        </w:rPr>
        <w:t xml:space="preserve"> </w:t>
      </w:r>
      <w:r w:rsidR="00B96EE6" w:rsidRPr="001C4A98">
        <w:rPr>
          <w:bCs/>
          <w:sz w:val="24"/>
          <w:szCs w:val="24"/>
        </w:rPr>
        <w:t xml:space="preserve">лица </w:t>
      </w:r>
      <w:r w:rsidR="007E13D5" w:rsidRPr="001C4A98">
        <w:rPr>
          <w:bCs/>
          <w:sz w:val="24"/>
          <w:szCs w:val="24"/>
        </w:rPr>
        <w:t xml:space="preserve">от СИК </w:t>
      </w:r>
      <w:r w:rsidR="00B96EE6" w:rsidRPr="001C4A98">
        <w:rPr>
          <w:bCs/>
          <w:sz w:val="24"/>
          <w:szCs w:val="24"/>
        </w:rPr>
        <w:t xml:space="preserve">в рамките на конкретния изборен процес. </w:t>
      </w:r>
      <w:r w:rsidR="001A154C" w:rsidRPr="001C4A98">
        <w:rPr>
          <w:bCs/>
          <w:sz w:val="24"/>
          <w:szCs w:val="24"/>
        </w:rPr>
        <w:t xml:space="preserve"> </w:t>
      </w:r>
    </w:p>
    <w:p w14:paraId="0B840E19" w14:textId="45250119" w:rsidR="00B96EE6" w:rsidRPr="001C4A98" w:rsidRDefault="00B96EE6" w:rsidP="00AF0DE7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Достъп до механизмите за машинно гласуване </w:t>
      </w:r>
      <w:r w:rsidRPr="001C4A98">
        <w:rPr>
          <w:bCs/>
          <w:sz w:val="24"/>
          <w:szCs w:val="24"/>
        </w:rPr>
        <w:t>-</w:t>
      </w:r>
      <w:r w:rsidR="00893AC1" w:rsidRPr="001C4A98">
        <w:rPr>
          <w:bCs/>
          <w:sz w:val="24"/>
          <w:szCs w:val="24"/>
        </w:rPr>
        <w:t xml:space="preserve"> </w:t>
      </w:r>
      <w:r w:rsidRPr="001C4A98">
        <w:rPr>
          <w:bCs/>
          <w:sz w:val="24"/>
          <w:szCs w:val="24"/>
        </w:rPr>
        <w:t xml:space="preserve">качество на </w:t>
      </w:r>
      <w:r w:rsidR="00893AC1" w:rsidRPr="001C4A98">
        <w:rPr>
          <w:bCs/>
          <w:sz w:val="24"/>
          <w:szCs w:val="24"/>
        </w:rPr>
        <w:t>ТУМГ</w:t>
      </w:r>
      <w:r w:rsidRPr="001C4A98">
        <w:rPr>
          <w:bCs/>
          <w:sz w:val="24"/>
          <w:szCs w:val="24"/>
        </w:rPr>
        <w:t xml:space="preserve">, осигуряващо на избирателите </w:t>
      </w:r>
      <w:r w:rsidR="001023E9" w:rsidRPr="001C4A98">
        <w:rPr>
          <w:bCs/>
          <w:sz w:val="24"/>
          <w:szCs w:val="24"/>
        </w:rPr>
        <w:t xml:space="preserve">и оторизираните представители на СИК </w:t>
      </w:r>
      <w:r w:rsidRPr="001C4A98">
        <w:rPr>
          <w:bCs/>
          <w:sz w:val="24"/>
          <w:szCs w:val="24"/>
        </w:rPr>
        <w:t>възможност и удобство при участието им в изборния процес чрез предоставения потребителски интерфейс и за опазване</w:t>
      </w:r>
      <w:r w:rsidR="00DD2E13" w:rsidRPr="001C4A98">
        <w:rPr>
          <w:bCs/>
          <w:sz w:val="24"/>
          <w:szCs w:val="24"/>
        </w:rPr>
        <w:t xml:space="preserve"> </w:t>
      </w:r>
      <w:r w:rsidRPr="001C4A98">
        <w:rPr>
          <w:bCs/>
          <w:sz w:val="24"/>
          <w:szCs w:val="24"/>
        </w:rPr>
        <w:t>тайната на вота.</w:t>
      </w:r>
    </w:p>
    <w:p w14:paraId="641D9BF6" w14:textId="1463691A" w:rsidR="00B96EE6" w:rsidRPr="001C4A98" w:rsidRDefault="00B96EE6" w:rsidP="00626B27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Декларация за съответствие </w:t>
      </w:r>
      <w:r w:rsidR="005726E7" w:rsidRPr="001C4A98">
        <w:rPr>
          <w:b/>
          <w:bCs/>
          <w:sz w:val="24"/>
          <w:szCs w:val="24"/>
        </w:rPr>
        <w:t>на продукт</w:t>
      </w:r>
      <w:r w:rsidR="005726E7" w:rsidRPr="001C4A98">
        <w:rPr>
          <w:bCs/>
          <w:sz w:val="24"/>
          <w:szCs w:val="24"/>
        </w:rPr>
        <w:t xml:space="preserve"> </w:t>
      </w:r>
      <w:r w:rsidR="00ED6327" w:rsidRPr="001C4A98">
        <w:rPr>
          <w:bCs/>
          <w:sz w:val="24"/>
          <w:szCs w:val="24"/>
        </w:rPr>
        <w:t>-</w:t>
      </w:r>
      <w:r w:rsidRPr="001C4A98">
        <w:rPr>
          <w:bCs/>
          <w:sz w:val="24"/>
          <w:szCs w:val="24"/>
        </w:rPr>
        <w:t xml:space="preserve"> </w:t>
      </w:r>
      <w:r w:rsidR="00626B27" w:rsidRPr="001C4A98">
        <w:rPr>
          <w:bCs/>
          <w:sz w:val="24"/>
          <w:szCs w:val="24"/>
        </w:rPr>
        <w:t xml:space="preserve">документ, </w:t>
      </w:r>
      <w:r w:rsidR="008E3FC8" w:rsidRPr="001C4A98">
        <w:rPr>
          <w:bCs/>
          <w:sz w:val="24"/>
          <w:szCs w:val="24"/>
        </w:rPr>
        <w:t xml:space="preserve">в </w:t>
      </w:r>
      <w:r w:rsidR="00626B27" w:rsidRPr="001C4A98">
        <w:rPr>
          <w:bCs/>
          <w:sz w:val="24"/>
          <w:szCs w:val="24"/>
        </w:rPr>
        <w:t xml:space="preserve">който </w:t>
      </w:r>
      <w:r w:rsidR="008E3FC8" w:rsidRPr="001C4A98">
        <w:rPr>
          <w:bCs/>
          <w:sz w:val="24"/>
          <w:szCs w:val="24"/>
        </w:rPr>
        <w:t>се декларира</w:t>
      </w:r>
      <w:r w:rsidR="00626B27" w:rsidRPr="001C4A98">
        <w:rPr>
          <w:bCs/>
          <w:sz w:val="24"/>
          <w:szCs w:val="24"/>
        </w:rPr>
        <w:t>, че са изпълнени изискванията на актове на Европейския съюз, на</w:t>
      </w:r>
      <w:r w:rsidR="001023E9" w:rsidRPr="001C4A98">
        <w:rPr>
          <w:bCs/>
          <w:sz w:val="24"/>
          <w:szCs w:val="24"/>
        </w:rPr>
        <w:t xml:space="preserve"> стандарти, схеми и други </w:t>
      </w:r>
      <w:r w:rsidR="00626B27" w:rsidRPr="001C4A98">
        <w:rPr>
          <w:bCs/>
          <w:sz w:val="24"/>
          <w:szCs w:val="24"/>
        </w:rPr>
        <w:t>документи. Издава се</w:t>
      </w:r>
      <w:r w:rsidR="009667EF" w:rsidRPr="001C4A98">
        <w:rPr>
          <w:bCs/>
          <w:sz w:val="24"/>
          <w:szCs w:val="24"/>
        </w:rPr>
        <w:t xml:space="preserve"> от </w:t>
      </w:r>
      <w:r w:rsidR="00626B27" w:rsidRPr="001C4A98">
        <w:rPr>
          <w:bCs/>
          <w:sz w:val="24"/>
          <w:szCs w:val="24"/>
        </w:rPr>
        <w:t>производителя</w:t>
      </w:r>
      <w:r w:rsidR="00ED3FE2" w:rsidRPr="001C4A98">
        <w:rPr>
          <w:bCs/>
          <w:sz w:val="24"/>
          <w:szCs w:val="24"/>
        </w:rPr>
        <w:t xml:space="preserve"> на дадения продукт</w:t>
      </w:r>
      <w:r w:rsidR="00626B27" w:rsidRPr="001C4A98">
        <w:rPr>
          <w:bCs/>
          <w:sz w:val="24"/>
          <w:szCs w:val="24"/>
        </w:rPr>
        <w:t xml:space="preserve">. </w:t>
      </w:r>
      <w:r w:rsidR="008E3FC8" w:rsidRPr="001C4A98">
        <w:rPr>
          <w:bCs/>
          <w:sz w:val="24"/>
          <w:szCs w:val="24"/>
        </w:rPr>
        <w:t>Декларацията</w:t>
      </w:r>
      <w:r w:rsidR="00626B27" w:rsidRPr="001C4A98">
        <w:rPr>
          <w:bCs/>
          <w:sz w:val="24"/>
          <w:szCs w:val="24"/>
        </w:rPr>
        <w:t xml:space="preserve"> се </w:t>
      </w:r>
      <w:r w:rsidR="001023E9" w:rsidRPr="001C4A98">
        <w:rPr>
          <w:bCs/>
          <w:sz w:val="24"/>
          <w:szCs w:val="24"/>
        </w:rPr>
        <w:t xml:space="preserve">издава или </w:t>
      </w:r>
      <w:r w:rsidR="00626B27" w:rsidRPr="001C4A98">
        <w:rPr>
          <w:bCs/>
          <w:sz w:val="24"/>
          <w:szCs w:val="24"/>
        </w:rPr>
        <w:t xml:space="preserve">превежда на </w:t>
      </w:r>
      <w:r w:rsidR="005E4A10" w:rsidRPr="001C4A98">
        <w:rPr>
          <w:bCs/>
          <w:sz w:val="24"/>
          <w:szCs w:val="24"/>
        </w:rPr>
        <w:t xml:space="preserve"> </w:t>
      </w:r>
      <w:r w:rsidR="00547292" w:rsidRPr="001C4A98">
        <w:rPr>
          <w:bCs/>
          <w:sz w:val="24"/>
          <w:szCs w:val="24"/>
        </w:rPr>
        <w:t>български език</w:t>
      </w:r>
      <w:r w:rsidR="00626B27" w:rsidRPr="001C4A98">
        <w:rPr>
          <w:bCs/>
          <w:sz w:val="24"/>
          <w:szCs w:val="24"/>
        </w:rPr>
        <w:t>.</w:t>
      </w:r>
      <w:r w:rsidR="008E3FC8" w:rsidRPr="001C4A98">
        <w:rPr>
          <w:bCs/>
          <w:sz w:val="24"/>
          <w:szCs w:val="24"/>
        </w:rPr>
        <w:t xml:space="preserve"> За определени </w:t>
      </w:r>
      <w:r w:rsidR="00ED3FE2" w:rsidRPr="001C4A98">
        <w:rPr>
          <w:bCs/>
          <w:sz w:val="24"/>
          <w:szCs w:val="24"/>
        </w:rPr>
        <w:t>ИТ</w:t>
      </w:r>
      <w:r w:rsidR="00CB17DA" w:rsidRPr="001C4A98">
        <w:rPr>
          <w:bCs/>
          <w:sz w:val="24"/>
          <w:szCs w:val="24"/>
        </w:rPr>
        <w:t xml:space="preserve"> </w:t>
      </w:r>
      <w:r w:rsidR="00ED3FE2" w:rsidRPr="001C4A98">
        <w:rPr>
          <w:bCs/>
          <w:sz w:val="24"/>
          <w:szCs w:val="24"/>
        </w:rPr>
        <w:t>продукти или компоненти</w:t>
      </w:r>
      <w:r w:rsidR="008E3FC8" w:rsidRPr="001C4A98">
        <w:rPr>
          <w:bCs/>
          <w:sz w:val="24"/>
          <w:szCs w:val="24"/>
        </w:rPr>
        <w:t xml:space="preserve"> може да се изисква издаването на декларация за съответствие от </w:t>
      </w:r>
      <w:proofErr w:type="spellStart"/>
      <w:r w:rsidR="008E3FC8" w:rsidRPr="001C4A98">
        <w:rPr>
          <w:bCs/>
          <w:sz w:val="24"/>
          <w:szCs w:val="24"/>
        </w:rPr>
        <w:t>нотифициран</w:t>
      </w:r>
      <w:proofErr w:type="spellEnd"/>
      <w:r w:rsidR="008E3FC8" w:rsidRPr="001C4A98">
        <w:rPr>
          <w:bCs/>
          <w:sz w:val="24"/>
          <w:szCs w:val="24"/>
        </w:rPr>
        <w:t xml:space="preserve"> орган.</w:t>
      </w:r>
    </w:p>
    <w:p w14:paraId="7945E45F" w14:textId="48A42A2D" w:rsidR="00EF14AB" w:rsidRPr="001C4A98" w:rsidRDefault="00EF14AB" w:rsidP="00EF14AB">
      <w:pPr>
        <w:pStyle w:val="NormalWeb"/>
        <w:spacing w:before="240" w:beforeAutospacing="0" w:after="240" w:afterAutospacing="0" w:line="240" w:lineRule="atLeast"/>
        <w:jc w:val="both"/>
        <w:rPr>
          <w:rFonts w:asciiTheme="minorHAnsi" w:hAnsiTheme="minorHAnsi" w:cs="Tahoma"/>
        </w:rPr>
      </w:pPr>
      <w:r w:rsidRPr="001C4A98">
        <w:rPr>
          <w:rFonts w:asciiTheme="minorHAnsi" w:hAnsiTheme="minorHAnsi" w:cs="Tahoma"/>
          <w:b/>
        </w:rPr>
        <w:lastRenderedPageBreak/>
        <w:t xml:space="preserve">Декларация за </w:t>
      </w:r>
      <w:r w:rsidR="000A7F8D" w:rsidRPr="001C4A98">
        <w:rPr>
          <w:rFonts w:asciiTheme="minorHAnsi" w:hAnsiTheme="minorHAnsi" w:cs="Tahoma"/>
          <w:b/>
        </w:rPr>
        <w:t xml:space="preserve">съответствие и </w:t>
      </w:r>
      <w:r w:rsidR="005E438D" w:rsidRPr="001C4A98">
        <w:rPr>
          <w:rFonts w:asciiTheme="minorHAnsi" w:hAnsiTheme="minorHAnsi" w:cs="Tahoma"/>
          <w:b/>
        </w:rPr>
        <w:t>идентичност на техническите устройства</w:t>
      </w:r>
      <w:r w:rsidR="00F30472" w:rsidRPr="001C4A98">
        <w:rPr>
          <w:rFonts w:asciiTheme="minorHAnsi" w:hAnsiTheme="minorHAnsi" w:cs="Tahoma"/>
          <w:b/>
        </w:rPr>
        <w:t xml:space="preserve"> за машинно гласуване</w:t>
      </w:r>
      <w:r w:rsidR="005E438D" w:rsidRPr="001C4A98">
        <w:rPr>
          <w:rFonts w:asciiTheme="minorHAnsi" w:hAnsiTheme="minorHAnsi" w:cs="Tahoma"/>
          <w:b/>
        </w:rPr>
        <w:t xml:space="preserve"> </w:t>
      </w:r>
      <w:r w:rsidR="006C551B" w:rsidRPr="001C4A98">
        <w:rPr>
          <w:rFonts w:asciiTheme="minorHAnsi" w:hAnsiTheme="minorHAnsi" w:cs="Tahoma"/>
        </w:rPr>
        <w:t>от</w:t>
      </w:r>
      <w:r w:rsidRPr="001C4A98">
        <w:rPr>
          <w:rFonts w:asciiTheme="minorHAnsi" w:hAnsiTheme="minorHAnsi" w:cs="Tahoma"/>
          <w:b/>
        </w:rPr>
        <w:t xml:space="preserve"> </w:t>
      </w:r>
      <w:r w:rsidRPr="001C4A98">
        <w:rPr>
          <w:rFonts w:asciiTheme="minorHAnsi" w:hAnsiTheme="minorHAnsi" w:cs="Tahoma"/>
        </w:rPr>
        <w:t>Изпълнителя - документ, в който Изпълнителя</w:t>
      </w:r>
      <w:r w:rsidR="006338FE" w:rsidRPr="001C4A98">
        <w:rPr>
          <w:rFonts w:asciiTheme="minorHAnsi" w:hAnsiTheme="minorHAnsi" w:cs="Tahoma"/>
        </w:rPr>
        <w:t>т</w:t>
      </w:r>
      <w:r w:rsidRPr="001C4A98">
        <w:rPr>
          <w:rFonts w:asciiTheme="minorHAnsi" w:hAnsiTheme="minorHAnsi" w:cs="Tahoma"/>
        </w:rPr>
        <w:t xml:space="preserve"> декларира, че са изпълнени изискванията на Изборния кодекс </w:t>
      </w:r>
      <w:r w:rsidRPr="00F35816">
        <w:rPr>
          <w:rFonts w:asciiTheme="minorHAnsi" w:hAnsiTheme="minorHAnsi" w:cs="Tahoma"/>
        </w:rPr>
        <w:t xml:space="preserve">и </w:t>
      </w:r>
      <w:r w:rsidR="005A3959" w:rsidRPr="00F35816">
        <w:rPr>
          <w:rFonts w:asciiTheme="minorHAnsi" w:hAnsiTheme="minorHAnsi" w:cs="Tahoma"/>
        </w:rPr>
        <w:t>техническите изисквания към апаратната и програмната част, които са определени от ЦИК</w:t>
      </w:r>
      <w:r w:rsidRPr="001C4A98">
        <w:rPr>
          <w:rFonts w:asciiTheme="minorHAnsi" w:hAnsiTheme="minorHAnsi" w:cs="Tahoma"/>
        </w:rPr>
        <w:t xml:space="preserve">, както за </w:t>
      </w:r>
      <w:r w:rsidR="00F30472" w:rsidRPr="001C4A98">
        <w:rPr>
          <w:rFonts w:asciiTheme="minorHAnsi" w:hAnsiTheme="minorHAnsi" w:cs="Tahoma"/>
        </w:rPr>
        <w:t xml:space="preserve">типа </w:t>
      </w:r>
      <w:r w:rsidRPr="001C4A98">
        <w:rPr>
          <w:rFonts w:asciiTheme="minorHAnsi" w:hAnsiTheme="minorHAnsi" w:cs="Tahoma"/>
        </w:rPr>
        <w:t>ТУМГ</w:t>
      </w:r>
      <w:r w:rsidR="006338FE" w:rsidRPr="001C4A98">
        <w:rPr>
          <w:rFonts w:asciiTheme="minorHAnsi" w:hAnsiTheme="minorHAnsi" w:cs="Tahoma"/>
        </w:rPr>
        <w:t>,</w:t>
      </w:r>
      <w:r w:rsidRPr="001C4A98">
        <w:rPr>
          <w:rFonts w:asciiTheme="minorHAnsi" w:hAnsiTheme="minorHAnsi" w:cs="Tahoma"/>
        </w:rPr>
        <w:t xml:space="preserve"> които са били обект на удостоверяване на съответствието, така и за всички останали доставени устройства за машинно гласуване </w:t>
      </w:r>
      <w:r w:rsidR="000A7F8D" w:rsidRPr="001C4A98">
        <w:rPr>
          <w:rFonts w:asciiTheme="minorHAnsi" w:hAnsiTheme="minorHAnsi" w:cs="Tahoma"/>
        </w:rPr>
        <w:t>от същия тип, които се ползват за произвеждане на конкретните избори</w:t>
      </w:r>
      <w:r w:rsidRPr="001C4A98">
        <w:rPr>
          <w:rFonts w:asciiTheme="minorHAnsi" w:hAnsiTheme="minorHAnsi" w:cs="Tahoma"/>
        </w:rPr>
        <w:t xml:space="preserve">. Изпълнителят декларира  и носи отговорност доставените устройства да имат идентични параметри на хардуер, софтуер, системни настройки, функционални характеристики и средства за защита с тези, които са били обект на удостоверяване на съответствието </w:t>
      </w:r>
      <w:r w:rsidR="0022187C" w:rsidRPr="001C4A98">
        <w:rPr>
          <w:rFonts w:asciiTheme="minorHAnsi" w:hAnsiTheme="minorHAnsi" w:cs="Tahoma"/>
        </w:rPr>
        <w:t>по</w:t>
      </w:r>
      <w:r w:rsidRPr="001C4A98">
        <w:rPr>
          <w:rFonts w:asciiTheme="minorHAnsi" w:hAnsiTheme="minorHAnsi" w:cs="Tahoma"/>
        </w:rPr>
        <w:t xml:space="preserve"> време на подготовката, реализацията и приключване на изборния ден. </w:t>
      </w:r>
    </w:p>
    <w:p w14:paraId="5EF52620" w14:textId="23112D26" w:rsidR="009557C4" w:rsidRPr="001C4A98" w:rsidRDefault="009557C4" w:rsidP="008335C8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CE маркировка </w:t>
      </w:r>
      <w:r w:rsidR="001D0FB2" w:rsidRPr="001C4A98">
        <w:rPr>
          <w:bCs/>
          <w:sz w:val="24"/>
          <w:szCs w:val="24"/>
        </w:rPr>
        <w:t>-</w:t>
      </w:r>
      <w:r w:rsidRPr="001C4A98">
        <w:rPr>
          <w:bCs/>
          <w:sz w:val="24"/>
          <w:szCs w:val="24"/>
        </w:rPr>
        <w:t xml:space="preserve"> знак за съответствие. С поставянето на този знак</w:t>
      </w:r>
      <w:r w:rsidR="00F40246" w:rsidRPr="001C4A98">
        <w:rPr>
          <w:bCs/>
          <w:sz w:val="24"/>
          <w:szCs w:val="24"/>
        </w:rPr>
        <w:t>,</w:t>
      </w:r>
      <w:r w:rsidRPr="001C4A98">
        <w:rPr>
          <w:bCs/>
          <w:sz w:val="24"/>
          <w:szCs w:val="24"/>
        </w:rPr>
        <w:t xml:space="preserve"> производителят декларира, че продуктът му отговаря на изискванията и са изпълнени процедурите за оцен</w:t>
      </w:r>
      <w:r w:rsidR="00A17233" w:rsidRPr="001C4A98">
        <w:rPr>
          <w:bCs/>
          <w:sz w:val="24"/>
          <w:szCs w:val="24"/>
        </w:rPr>
        <w:t>яване</w:t>
      </w:r>
      <w:r w:rsidRPr="001C4A98">
        <w:rPr>
          <w:bCs/>
          <w:sz w:val="24"/>
          <w:szCs w:val="24"/>
        </w:rPr>
        <w:t xml:space="preserve"> на съответствието, описани в съответната европейска директива.</w:t>
      </w:r>
      <w:r w:rsidR="008335C8" w:rsidRPr="001C4A98">
        <w:rPr>
          <w:bCs/>
          <w:sz w:val="24"/>
          <w:szCs w:val="24"/>
        </w:rPr>
        <w:t xml:space="preserve"> За маркировката „СЕ“ се прилагат основ</w:t>
      </w:r>
      <w:r w:rsidR="008B1D23" w:rsidRPr="001C4A98">
        <w:rPr>
          <w:bCs/>
          <w:sz w:val="24"/>
          <w:szCs w:val="24"/>
        </w:rPr>
        <w:t>ните принципи, установени в чл.</w:t>
      </w:r>
      <w:r w:rsidR="00DB6785">
        <w:rPr>
          <w:bCs/>
          <w:sz w:val="24"/>
          <w:szCs w:val="24"/>
        </w:rPr>
        <w:t xml:space="preserve"> </w:t>
      </w:r>
      <w:r w:rsidR="008335C8" w:rsidRPr="001C4A98">
        <w:rPr>
          <w:bCs/>
          <w:sz w:val="24"/>
          <w:szCs w:val="24"/>
        </w:rPr>
        <w:t>30 от Регламент (ЕО) № 765/2008</w:t>
      </w:r>
      <w:r w:rsidR="001F7AA4" w:rsidRPr="001C4A98">
        <w:rPr>
          <w:bCs/>
          <w:sz w:val="24"/>
          <w:szCs w:val="24"/>
        </w:rPr>
        <w:t>.</w:t>
      </w:r>
    </w:p>
    <w:p w14:paraId="7DC479D4" w14:textId="4C9C5D91" w:rsidR="00A7096F" w:rsidRPr="001C4A98" w:rsidRDefault="00A7096F" w:rsidP="00A7096F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Автентичност</w:t>
      </w:r>
      <w:r w:rsidRPr="001C4A98">
        <w:rPr>
          <w:bCs/>
          <w:sz w:val="24"/>
          <w:szCs w:val="24"/>
        </w:rPr>
        <w:t xml:space="preserve"> - свойството, че дадена</w:t>
      </w:r>
      <w:r w:rsidR="00F92B58" w:rsidRPr="001C4A98">
        <w:rPr>
          <w:bCs/>
          <w:sz w:val="24"/>
          <w:szCs w:val="24"/>
        </w:rPr>
        <w:t>та</w:t>
      </w:r>
      <w:r w:rsidRPr="001C4A98">
        <w:rPr>
          <w:bCs/>
          <w:sz w:val="24"/>
          <w:szCs w:val="24"/>
        </w:rPr>
        <w:t xml:space="preserve"> единица</w:t>
      </w:r>
      <w:r w:rsidR="00F92B58" w:rsidRPr="001C4A98">
        <w:rPr>
          <w:bCs/>
          <w:sz w:val="24"/>
          <w:szCs w:val="24"/>
        </w:rPr>
        <w:t xml:space="preserve">, </w:t>
      </w:r>
      <w:r w:rsidRPr="001C4A98">
        <w:rPr>
          <w:bCs/>
          <w:sz w:val="24"/>
          <w:szCs w:val="24"/>
        </w:rPr>
        <w:t xml:space="preserve">обект на </w:t>
      </w:r>
      <w:r w:rsidR="00565114" w:rsidRPr="001C4A98">
        <w:rPr>
          <w:bCs/>
          <w:sz w:val="24"/>
          <w:szCs w:val="24"/>
        </w:rPr>
        <w:t>оценяване</w:t>
      </w:r>
      <w:r w:rsidR="00F92B58" w:rsidRPr="001C4A98">
        <w:rPr>
          <w:bCs/>
          <w:sz w:val="24"/>
          <w:szCs w:val="24"/>
        </w:rPr>
        <w:t>,</w:t>
      </w:r>
      <w:r w:rsidRPr="001C4A98">
        <w:rPr>
          <w:bCs/>
          <w:sz w:val="24"/>
          <w:szCs w:val="24"/>
        </w:rPr>
        <w:t xml:space="preserve"> е наис</w:t>
      </w:r>
      <w:r w:rsidR="00251DEE" w:rsidRPr="001C4A98">
        <w:rPr>
          <w:bCs/>
          <w:sz w:val="24"/>
          <w:szCs w:val="24"/>
        </w:rPr>
        <w:t xml:space="preserve">тина това, за което претендира </w:t>
      </w:r>
      <w:r w:rsidRPr="001C4A98">
        <w:rPr>
          <w:bCs/>
          <w:sz w:val="24"/>
          <w:szCs w:val="24"/>
        </w:rPr>
        <w:t>че е.</w:t>
      </w:r>
    </w:p>
    <w:p w14:paraId="41637DBB" w14:textId="77777777" w:rsidR="003B7540" w:rsidRPr="001C4A98" w:rsidRDefault="003B7540" w:rsidP="003B7540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Механизъм за контрол </w:t>
      </w:r>
      <w:r w:rsidRPr="001C4A98">
        <w:rPr>
          <w:bCs/>
          <w:sz w:val="24"/>
          <w:szCs w:val="24"/>
        </w:rPr>
        <w:t xml:space="preserve">– мярка или съвкупност от мерки, които имат за цел да </w:t>
      </w:r>
      <w:r w:rsidRPr="002B1EEF">
        <w:rPr>
          <w:bCs/>
          <w:sz w:val="24"/>
          <w:szCs w:val="24"/>
        </w:rPr>
        <w:t>изменят</w:t>
      </w:r>
      <w:r w:rsidRPr="001C4A98">
        <w:rPr>
          <w:bCs/>
          <w:sz w:val="24"/>
          <w:szCs w:val="24"/>
        </w:rPr>
        <w:t xml:space="preserve"> величината на риска за сигурността на информацията.</w:t>
      </w:r>
    </w:p>
    <w:p w14:paraId="4C3C3FFA" w14:textId="12BD66FE" w:rsidR="001136C9" w:rsidRPr="001C4A98" w:rsidRDefault="001136C9" w:rsidP="001136C9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Контрол на достъпа </w:t>
      </w:r>
      <w:r w:rsidRPr="001C4A98">
        <w:rPr>
          <w:bCs/>
          <w:sz w:val="24"/>
          <w:szCs w:val="24"/>
        </w:rPr>
        <w:t xml:space="preserve">- начин да се гарантира, че достъпът до </w:t>
      </w:r>
      <w:r w:rsidR="007628D9" w:rsidRPr="001C4A98">
        <w:rPr>
          <w:bCs/>
          <w:sz w:val="24"/>
          <w:szCs w:val="24"/>
        </w:rPr>
        <w:t>ТУМГ</w:t>
      </w:r>
      <w:r w:rsidR="007538C2" w:rsidRPr="001C4A98">
        <w:rPr>
          <w:bCs/>
          <w:sz w:val="24"/>
          <w:szCs w:val="24"/>
        </w:rPr>
        <w:t xml:space="preserve"> или негови съставни части </w:t>
      </w:r>
      <w:r w:rsidRPr="001C4A98">
        <w:rPr>
          <w:bCs/>
          <w:sz w:val="24"/>
          <w:szCs w:val="24"/>
        </w:rPr>
        <w:t xml:space="preserve">е оторизиран и ограничен на базата на изискванията на </w:t>
      </w:r>
      <w:r w:rsidR="00BB55A6" w:rsidRPr="001C4A98">
        <w:rPr>
          <w:bCs/>
          <w:sz w:val="24"/>
          <w:szCs w:val="24"/>
        </w:rPr>
        <w:t>Изборния кодекс</w:t>
      </w:r>
      <w:r w:rsidR="009557C4" w:rsidRPr="001C4A98">
        <w:rPr>
          <w:bCs/>
          <w:sz w:val="24"/>
          <w:szCs w:val="24"/>
        </w:rPr>
        <w:t>.</w:t>
      </w:r>
      <w:r w:rsidRPr="001C4A98">
        <w:rPr>
          <w:bCs/>
          <w:sz w:val="24"/>
          <w:szCs w:val="24"/>
        </w:rPr>
        <w:t xml:space="preserve"> </w:t>
      </w:r>
    </w:p>
    <w:p w14:paraId="2266FAE2" w14:textId="6F6A2EB1" w:rsidR="00EF14AB" w:rsidRDefault="00DD73FB" w:rsidP="00EF14AB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Електронен дневник на изборния процес </w:t>
      </w:r>
      <w:r w:rsidRPr="001C4A98">
        <w:rPr>
          <w:bCs/>
          <w:sz w:val="24"/>
          <w:szCs w:val="24"/>
        </w:rPr>
        <w:t>- носител или набор от носители на информация, които се ползват за отбелязване на особености и отклонения от предвидения режим в процеса на гласуване и обработка на информацията.</w:t>
      </w:r>
      <w:r w:rsidR="00EF14AB" w:rsidRPr="001C4A98">
        <w:rPr>
          <w:bCs/>
          <w:sz w:val="24"/>
          <w:szCs w:val="24"/>
        </w:rPr>
        <w:t xml:space="preserve">   Терминът „електронен дневник“ е посочен в чл. 213, ал.</w:t>
      </w:r>
      <w:r w:rsidR="00851F01">
        <w:rPr>
          <w:bCs/>
          <w:sz w:val="24"/>
          <w:szCs w:val="24"/>
        </w:rPr>
        <w:t xml:space="preserve"> </w:t>
      </w:r>
      <w:r w:rsidR="00EF14AB" w:rsidRPr="001C4A98">
        <w:rPr>
          <w:bCs/>
          <w:sz w:val="24"/>
          <w:szCs w:val="24"/>
        </w:rPr>
        <w:t>2</w:t>
      </w:r>
      <w:r w:rsidR="00851F01">
        <w:rPr>
          <w:bCs/>
          <w:sz w:val="24"/>
          <w:szCs w:val="24"/>
        </w:rPr>
        <w:t>,</w:t>
      </w:r>
      <w:r w:rsidR="00EF14AB" w:rsidRPr="001C4A98">
        <w:rPr>
          <w:bCs/>
          <w:sz w:val="24"/>
          <w:szCs w:val="24"/>
        </w:rPr>
        <w:t xml:space="preserve"> т. 14</w:t>
      </w:r>
      <w:r w:rsidR="008B1D23" w:rsidRPr="001C4A98">
        <w:rPr>
          <w:bCs/>
          <w:sz w:val="24"/>
          <w:szCs w:val="24"/>
        </w:rPr>
        <w:t xml:space="preserve"> от Изборния кодекс</w:t>
      </w:r>
      <w:r w:rsidR="00EF14AB" w:rsidRPr="001C4A98">
        <w:rPr>
          <w:bCs/>
          <w:sz w:val="24"/>
          <w:szCs w:val="24"/>
        </w:rPr>
        <w:t xml:space="preserve">. В </w:t>
      </w:r>
      <w:r w:rsidR="005A3959" w:rsidRPr="001C4A98">
        <w:rPr>
          <w:bCs/>
          <w:sz w:val="24"/>
          <w:szCs w:val="24"/>
        </w:rPr>
        <w:t>т</w:t>
      </w:r>
      <w:r w:rsidR="00EF14AB" w:rsidRPr="001C4A98">
        <w:rPr>
          <w:bCs/>
          <w:sz w:val="24"/>
          <w:szCs w:val="24"/>
        </w:rPr>
        <w:t xml:space="preserve">ехническата </w:t>
      </w:r>
      <w:r w:rsidR="005A3959" w:rsidRPr="001C4A98">
        <w:rPr>
          <w:bCs/>
          <w:sz w:val="24"/>
          <w:szCs w:val="24"/>
        </w:rPr>
        <w:t>документация</w:t>
      </w:r>
      <w:r w:rsidR="00EF14AB" w:rsidRPr="001C4A98">
        <w:rPr>
          <w:bCs/>
          <w:sz w:val="24"/>
          <w:szCs w:val="24"/>
        </w:rPr>
        <w:t xml:space="preserve"> за този </w:t>
      </w:r>
      <w:r w:rsidR="005A3959" w:rsidRPr="001C4A98">
        <w:rPr>
          <w:bCs/>
          <w:sz w:val="24"/>
          <w:szCs w:val="24"/>
        </w:rPr>
        <w:t xml:space="preserve">информационен </w:t>
      </w:r>
      <w:r w:rsidR="00EF14AB" w:rsidRPr="001C4A98">
        <w:rPr>
          <w:bCs/>
          <w:sz w:val="24"/>
          <w:szCs w:val="24"/>
        </w:rPr>
        <w:t xml:space="preserve">актив са </w:t>
      </w:r>
      <w:r w:rsidR="00B31593" w:rsidRPr="001C4A98">
        <w:rPr>
          <w:bCs/>
          <w:sz w:val="24"/>
          <w:szCs w:val="24"/>
        </w:rPr>
        <w:t>из</w:t>
      </w:r>
      <w:r w:rsidR="00EF14AB" w:rsidRPr="001C4A98">
        <w:rPr>
          <w:bCs/>
          <w:sz w:val="24"/>
          <w:szCs w:val="24"/>
        </w:rPr>
        <w:t xml:space="preserve">ползвани </w:t>
      </w:r>
      <w:r w:rsidR="005A3959" w:rsidRPr="001C4A98">
        <w:rPr>
          <w:bCs/>
          <w:sz w:val="24"/>
          <w:szCs w:val="24"/>
        </w:rPr>
        <w:t xml:space="preserve">и </w:t>
      </w:r>
      <w:r w:rsidR="00EF14AB" w:rsidRPr="001C4A98">
        <w:rPr>
          <w:bCs/>
          <w:sz w:val="24"/>
          <w:szCs w:val="24"/>
        </w:rPr>
        <w:t xml:space="preserve">множество други термини като </w:t>
      </w:r>
      <w:proofErr w:type="spellStart"/>
      <w:r w:rsidR="00EF14AB" w:rsidRPr="001C4A98">
        <w:rPr>
          <w:bCs/>
          <w:sz w:val="24"/>
          <w:szCs w:val="24"/>
        </w:rPr>
        <w:t>log</w:t>
      </w:r>
      <w:proofErr w:type="spellEnd"/>
      <w:r w:rsidR="00EF14AB" w:rsidRPr="001C4A98">
        <w:rPr>
          <w:bCs/>
          <w:sz w:val="24"/>
          <w:szCs w:val="24"/>
        </w:rPr>
        <w:t xml:space="preserve"> файлове, </w:t>
      </w:r>
      <w:proofErr w:type="spellStart"/>
      <w:r w:rsidR="00EF14AB" w:rsidRPr="001C4A98">
        <w:rPr>
          <w:bCs/>
          <w:sz w:val="24"/>
          <w:szCs w:val="24"/>
        </w:rPr>
        <w:t>лог</w:t>
      </w:r>
      <w:proofErr w:type="spellEnd"/>
      <w:r w:rsidR="00EF14AB" w:rsidRPr="001C4A98">
        <w:rPr>
          <w:bCs/>
          <w:sz w:val="24"/>
          <w:szCs w:val="24"/>
        </w:rPr>
        <w:t xml:space="preserve"> файл  и електронни </w:t>
      </w:r>
      <w:proofErr w:type="spellStart"/>
      <w:r w:rsidR="00EF14AB" w:rsidRPr="001C4A98">
        <w:rPr>
          <w:bCs/>
          <w:sz w:val="24"/>
          <w:szCs w:val="24"/>
        </w:rPr>
        <w:t>log-ове</w:t>
      </w:r>
      <w:proofErr w:type="spellEnd"/>
      <w:r w:rsidR="00EF14AB" w:rsidRPr="001C4A98">
        <w:rPr>
          <w:bCs/>
          <w:sz w:val="24"/>
          <w:szCs w:val="24"/>
        </w:rPr>
        <w:t>.</w:t>
      </w:r>
    </w:p>
    <w:p w14:paraId="4D1B27B2" w14:textId="6562C7A8" w:rsidR="00ED2545" w:rsidRPr="00D661E2" w:rsidRDefault="00ED2545" w:rsidP="00ED2545">
      <w:pPr>
        <w:jc w:val="both"/>
        <w:rPr>
          <w:bCs/>
          <w:sz w:val="24"/>
          <w:szCs w:val="24"/>
        </w:rPr>
      </w:pPr>
      <w:r w:rsidRPr="00D661E2">
        <w:rPr>
          <w:b/>
          <w:bCs/>
          <w:sz w:val="24"/>
          <w:szCs w:val="24"/>
        </w:rPr>
        <w:t xml:space="preserve">Електронна избирателна кутия </w:t>
      </w:r>
      <w:r w:rsidRPr="00D661E2">
        <w:rPr>
          <w:bCs/>
          <w:sz w:val="24"/>
          <w:szCs w:val="24"/>
        </w:rPr>
        <w:t>- папка</w:t>
      </w:r>
      <w:r w:rsidRPr="00D661E2">
        <w:rPr>
          <w:bCs/>
          <w:sz w:val="24"/>
          <w:szCs w:val="24"/>
          <w:lang w:val="ru-RU"/>
        </w:rPr>
        <w:t xml:space="preserve"> </w:t>
      </w:r>
      <w:r w:rsidRPr="00D661E2">
        <w:rPr>
          <w:bCs/>
          <w:sz w:val="24"/>
          <w:szCs w:val="24"/>
        </w:rPr>
        <w:t xml:space="preserve">(директория) върху криптираната част на ЗТУ,  която съдържа всички електронни записи със съдържанието на подадените и потвърдени гласове (вотове) на избирателите. Всеки запис е отделен файл в криптиран вид, </w:t>
      </w:r>
      <w:r w:rsidR="0011259C" w:rsidRPr="00D661E2">
        <w:rPr>
          <w:bCs/>
          <w:sz w:val="24"/>
          <w:szCs w:val="24"/>
        </w:rPr>
        <w:t xml:space="preserve">записан по начин, който гарантира </w:t>
      </w:r>
      <w:proofErr w:type="spellStart"/>
      <w:r w:rsidRPr="00D661E2">
        <w:rPr>
          <w:bCs/>
          <w:sz w:val="24"/>
          <w:szCs w:val="24"/>
        </w:rPr>
        <w:t>непроследимостта</w:t>
      </w:r>
      <w:proofErr w:type="spellEnd"/>
      <w:r w:rsidRPr="00D661E2">
        <w:rPr>
          <w:bCs/>
          <w:sz w:val="24"/>
          <w:szCs w:val="24"/>
        </w:rPr>
        <w:t xml:space="preserve"> на вота.   </w:t>
      </w:r>
    </w:p>
    <w:p w14:paraId="09CACBC3" w14:textId="5928AD78" w:rsidR="00B167DC" w:rsidRPr="001C4A98" w:rsidRDefault="00B167DC" w:rsidP="00DD73FB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П</w:t>
      </w:r>
      <w:r w:rsidR="000C39CF" w:rsidRPr="001C4A98">
        <w:rPr>
          <w:b/>
          <w:bCs/>
          <w:sz w:val="24"/>
          <w:szCs w:val="24"/>
        </w:rPr>
        <w:t>риложен</w:t>
      </w:r>
      <w:r w:rsidRPr="001C4A98">
        <w:rPr>
          <w:b/>
          <w:bCs/>
          <w:sz w:val="24"/>
          <w:szCs w:val="24"/>
        </w:rPr>
        <w:t xml:space="preserve"> софтуер </w:t>
      </w:r>
      <w:r w:rsidR="005E272F" w:rsidRPr="001C4A98">
        <w:rPr>
          <w:bCs/>
          <w:sz w:val="24"/>
          <w:szCs w:val="24"/>
        </w:rPr>
        <w:t>-</w:t>
      </w:r>
      <w:r w:rsidR="000C39CF" w:rsidRPr="001C4A98">
        <w:rPr>
          <w:b/>
          <w:bCs/>
          <w:sz w:val="24"/>
          <w:szCs w:val="24"/>
        </w:rPr>
        <w:t xml:space="preserve"> </w:t>
      </w:r>
      <w:r w:rsidR="00C124F6" w:rsidRPr="001C4A98">
        <w:rPr>
          <w:bCs/>
          <w:sz w:val="24"/>
          <w:szCs w:val="24"/>
        </w:rPr>
        <w:t xml:space="preserve">специализирани </w:t>
      </w:r>
      <w:r w:rsidR="0008397A" w:rsidRPr="001C4A98">
        <w:rPr>
          <w:bCs/>
          <w:sz w:val="24"/>
          <w:szCs w:val="24"/>
        </w:rPr>
        <w:t>програми, предназначени за решаване на конкретни</w:t>
      </w:r>
      <w:r w:rsidR="00C124F6" w:rsidRPr="001C4A98">
        <w:rPr>
          <w:bCs/>
          <w:sz w:val="24"/>
          <w:szCs w:val="24"/>
        </w:rPr>
        <w:t>те</w:t>
      </w:r>
      <w:r w:rsidR="0008397A" w:rsidRPr="001C4A98">
        <w:rPr>
          <w:bCs/>
          <w:sz w:val="24"/>
          <w:szCs w:val="24"/>
        </w:rPr>
        <w:t xml:space="preserve"> задачи</w:t>
      </w:r>
      <w:r w:rsidR="00C124F6" w:rsidRPr="001C4A98">
        <w:rPr>
          <w:bCs/>
          <w:sz w:val="24"/>
          <w:szCs w:val="24"/>
        </w:rPr>
        <w:t xml:space="preserve"> по подготовка, </w:t>
      </w:r>
      <w:r w:rsidR="00435A71" w:rsidRPr="001C4A98">
        <w:rPr>
          <w:bCs/>
          <w:sz w:val="24"/>
          <w:szCs w:val="24"/>
        </w:rPr>
        <w:t xml:space="preserve">осъществяване </w:t>
      </w:r>
      <w:r w:rsidR="00C124F6" w:rsidRPr="001C4A98">
        <w:rPr>
          <w:bCs/>
          <w:sz w:val="24"/>
          <w:szCs w:val="24"/>
        </w:rPr>
        <w:t>на процеса на гласуване и отчитане на резултатите от него</w:t>
      </w:r>
      <w:r w:rsidR="0008397A" w:rsidRPr="001C4A98">
        <w:rPr>
          <w:bCs/>
          <w:sz w:val="24"/>
          <w:szCs w:val="24"/>
        </w:rPr>
        <w:t>.</w:t>
      </w:r>
      <w:r w:rsidR="0008397A" w:rsidRPr="001C4A98">
        <w:rPr>
          <w:b/>
          <w:bCs/>
          <w:sz w:val="24"/>
          <w:szCs w:val="24"/>
        </w:rPr>
        <w:t xml:space="preserve">  </w:t>
      </w:r>
    </w:p>
    <w:p w14:paraId="506AE3E8" w14:textId="2337D169" w:rsidR="00CC76C4" w:rsidRPr="001C4A98" w:rsidRDefault="00B96EE6" w:rsidP="00907FDA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Криптиращ</w:t>
      </w:r>
      <w:r w:rsidR="0023724F" w:rsidRPr="001C4A98">
        <w:rPr>
          <w:b/>
          <w:bCs/>
          <w:sz w:val="24"/>
          <w:szCs w:val="24"/>
        </w:rPr>
        <w:t>/декриптиращ</w:t>
      </w:r>
      <w:r w:rsidRPr="001C4A98">
        <w:rPr>
          <w:b/>
          <w:bCs/>
          <w:sz w:val="24"/>
          <w:szCs w:val="24"/>
        </w:rPr>
        <w:t xml:space="preserve"> софтуер </w:t>
      </w:r>
      <w:r w:rsidR="001F7AA4" w:rsidRPr="001C4A98">
        <w:rPr>
          <w:bCs/>
          <w:sz w:val="24"/>
          <w:szCs w:val="24"/>
        </w:rPr>
        <w:t>-</w:t>
      </w:r>
      <w:r w:rsidR="002333EA" w:rsidRPr="001C4A98">
        <w:rPr>
          <w:bCs/>
          <w:sz w:val="24"/>
          <w:szCs w:val="24"/>
        </w:rPr>
        <w:t xml:space="preserve"> </w:t>
      </w:r>
      <w:r w:rsidR="00695D33" w:rsidRPr="001C4A98">
        <w:rPr>
          <w:bCs/>
          <w:sz w:val="24"/>
          <w:szCs w:val="24"/>
        </w:rPr>
        <w:t xml:space="preserve">софтуер, който </w:t>
      </w:r>
      <w:r w:rsidR="002333EA" w:rsidRPr="001C4A98">
        <w:rPr>
          <w:bCs/>
          <w:sz w:val="24"/>
          <w:szCs w:val="24"/>
        </w:rPr>
        <w:t xml:space="preserve">осигурява </w:t>
      </w:r>
      <w:r w:rsidR="00695D33" w:rsidRPr="001C4A98">
        <w:rPr>
          <w:bCs/>
          <w:sz w:val="24"/>
          <w:szCs w:val="24"/>
        </w:rPr>
        <w:t>интегритета</w:t>
      </w:r>
      <w:r w:rsidR="002333EA" w:rsidRPr="001C4A98">
        <w:rPr>
          <w:bCs/>
          <w:sz w:val="24"/>
          <w:szCs w:val="24"/>
        </w:rPr>
        <w:t xml:space="preserve"> и </w:t>
      </w:r>
      <w:r w:rsidR="00695D33" w:rsidRPr="001C4A98">
        <w:rPr>
          <w:bCs/>
          <w:sz w:val="24"/>
          <w:szCs w:val="24"/>
        </w:rPr>
        <w:t>конфиденциалността</w:t>
      </w:r>
      <w:r w:rsidR="002333EA" w:rsidRPr="001C4A98">
        <w:rPr>
          <w:bCs/>
          <w:sz w:val="24"/>
          <w:szCs w:val="24"/>
        </w:rPr>
        <w:t xml:space="preserve"> на прехвърляната информация чрез криптиране на данните</w:t>
      </w:r>
      <w:r w:rsidR="00DE60A3" w:rsidRPr="001C4A98">
        <w:rPr>
          <w:bCs/>
          <w:sz w:val="24"/>
          <w:szCs w:val="24"/>
        </w:rPr>
        <w:t>.</w:t>
      </w:r>
      <w:r w:rsidR="002333EA" w:rsidRPr="001C4A98">
        <w:rPr>
          <w:bCs/>
          <w:sz w:val="24"/>
          <w:szCs w:val="24"/>
        </w:rPr>
        <w:t xml:space="preserve"> </w:t>
      </w:r>
    </w:p>
    <w:p w14:paraId="2FB61A24" w14:textId="312A9EE4" w:rsidR="00B66437" w:rsidRPr="001C4A98" w:rsidRDefault="00CC76C4" w:rsidP="00CC76C4">
      <w:pPr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Модул за валидация и обобщаване на контролни разписки </w:t>
      </w:r>
      <w:r w:rsidRPr="001C4A98">
        <w:rPr>
          <w:bCs/>
          <w:sz w:val="24"/>
          <w:szCs w:val="24"/>
        </w:rPr>
        <w:t xml:space="preserve">- софтуерен модул, чрез който да се разпознава 2D баркодът, отпечатван на контролната разписка и да се обобщават данните </w:t>
      </w:r>
      <w:r w:rsidR="005A5063" w:rsidRPr="001C4A98">
        <w:rPr>
          <w:bCs/>
          <w:sz w:val="24"/>
          <w:szCs w:val="24"/>
        </w:rPr>
        <w:t xml:space="preserve">от разписките за гласуване. </w:t>
      </w:r>
    </w:p>
    <w:p w14:paraId="2DF363CE" w14:textId="57C821D1" w:rsidR="00CC76C4" w:rsidRPr="001C4A98" w:rsidRDefault="00CC76C4" w:rsidP="00907FDA">
      <w:pPr>
        <w:spacing w:after="120" w:line="240" w:lineRule="auto"/>
        <w:jc w:val="both"/>
        <w:rPr>
          <w:bCs/>
          <w:sz w:val="24"/>
          <w:szCs w:val="24"/>
        </w:rPr>
      </w:pPr>
      <w:proofErr w:type="spellStart"/>
      <w:r w:rsidRPr="001C4A98">
        <w:rPr>
          <w:b/>
          <w:bCs/>
          <w:sz w:val="24"/>
          <w:szCs w:val="24"/>
        </w:rPr>
        <w:lastRenderedPageBreak/>
        <w:t>Реконсилация</w:t>
      </w:r>
      <w:proofErr w:type="spellEnd"/>
      <w:r w:rsidR="009136B9" w:rsidRPr="001C4A98">
        <w:rPr>
          <w:bCs/>
          <w:sz w:val="24"/>
          <w:szCs w:val="24"/>
        </w:rPr>
        <w:t xml:space="preserve"> - </w:t>
      </w:r>
      <w:r w:rsidRPr="001C4A98">
        <w:rPr>
          <w:bCs/>
          <w:sz w:val="24"/>
          <w:szCs w:val="24"/>
        </w:rPr>
        <w:t>автоматизиран метод за сравняване на идентичността на всяка контролна разписка със списъка, изваден от ЗТУ.</w:t>
      </w:r>
    </w:p>
    <w:p w14:paraId="56593D76" w14:textId="3324B2C3" w:rsidR="00B96EE6" w:rsidRPr="001C4A98" w:rsidRDefault="00B96EE6" w:rsidP="00E73785">
      <w:pPr>
        <w:numPr>
          <w:ilvl w:val="0"/>
          <w:numId w:val="1"/>
        </w:numPr>
        <w:spacing w:before="360" w:after="240" w:line="240" w:lineRule="auto"/>
        <w:ind w:left="648"/>
        <w:jc w:val="both"/>
        <w:rPr>
          <w:b/>
          <w:bCs/>
          <w:sz w:val="26"/>
          <w:szCs w:val="26"/>
        </w:rPr>
      </w:pPr>
      <w:r w:rsidRPr="001C4A98">
        <w:rPr>
          <w:b/>
          <w:bCs/>
          <w:sz w:val="26"/>
          <w:szCs w:val="26"/>
        </w:rPr>
        <w:t xml:space="preserve">Подготовка за </w:t>
      </w:r>
      <w:r w:rsidR="00D842F0" w:rsidRPr="001C4A98">
        <w:rPr>
          <w:b/>
          <w:bCs/>
          <w:sz w:val="26"/>
          <w:szCs w:val="26"/>
        </w:rPr>
        <w:t>оценяване</w:t>
      </w:r>
      <w:r w:rsidR="00B764C3" w:rsidRPr="001C4A98">
        <w:rPr>
          <w:b/>
          <w:bCs/>
          <w:sz w:val="26"/>
          <w:szCs w:val="26"/>
        </w:rPr>
        <w:t xml:space="preserve"> </w:t>
      </w:r>
      <w:r w:rsidRPr="001C4A98">
        <w:rPr>
          <w:b/>
          <w:bCs/>
          <w:sz w:val="26"/>
          <w:szCs w:val="26"/>
        </w:rPr>
        <w:t>на съответствието</w:t>
      </w:r>
    </w:p>
    <w:p w14:paraId="631A961A" w14:textId="5EAD6B5E" w:rsidR="00F51D8F" w:rsidRPr="001C4A98" w:rsidRDefault="00B96EE6" w:rsidP="000340E6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Подготовката на процеса за </w:t>
      </w:r>
      <w:r w:rsidR="0028691C" w:rsidRPr="001C4A98">
        <w:rPr>
          <w:bCs/>
          <w:sz w:val="24"/>
          <w:szCs w:val="24"/>
        </w:rPr>
        <w:t xml:space="preserve">оценяване на </w:t>
      </w:r>
      <w:r w:rsidRPr="001C4A98">
        <w:rPr>
          <w:bCs/>
          <w:sz w:val="24"/>
          <w:szCs w:val="24"/>
        </w:rPr>
        <w:t xml:space="preserve">съответствието </w:t>
      </w:r>
      <w:r w:rsidR="0032259B" w:rsidRPr="001C4A98">
        <w:rPr>
          <w:bCs/>
          <w:sz w:val="24"/>
          <w:szCs w:val="24"/>
        </w:rPr>
        <w:t>включва:</w:t>
      </w:r>
    </w:p>
    <w:p w14:paraId="3F9679C0" w14:textId="5B174B85" w:rsidR="00C62F42" w:rsidRPr="001C4A98" w:rsidRDefault="0032259B" w:rsidP="00565ECA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4.</w:t>
      </w:r>
      <w:r w:rsidR="00F51D8F" w:rsidRPr="001C4A98">
        <w:rPr>
          <w:b/>
          <w:bCs/>
          <w:sz w:val="24"/>
          <w:szCs w:val="24"/>
        </w:rPr>
        <w:t>1.</w:t>
      </w:r>
      <w:r w:rsidR="00F51D8F" w:rsidRPr="001C4A98">
        <w:rPr>
          <w:bCs/>
          <w:sz w:val="24"/>
          <w:szCs w:val="24"/>
        </w:rPr>
        <w:t xml:space="preserve"> </w:t>
      </w:r>
      <w:r w:rsidR="00916EC5" w:rsidRPr="001C4A98">
        <w:rPr>
          <w:bCs/>
          <w:sz w:val="24"/>
          <w:szCs w:val="24"/>
        </w:rPr>
        <w:t>П</w:t>
      </w:r>
      <w:r w:rsidR="00B96EE6" w:rsidRPr="001C4A98">
        <w:rPr>
          <w:bCs/>
          <w:sz w:val="24"/>
          <w:szCs w:val="24"/>
        </w:rPr>
        <w:t xml:space="preserve">олучаване </w:t>
      </w:r>
      <w:r w:rsidR="00814095" w:rsidRPr="001C4A98">
        <w:rPr>
          <w:bCs/>
          <w:sz w:val="24"/>
          <w:szCs w:val="24"/>
        </w:rPr>
        <w:t xml:space="preserve">на </w:t>
      </w:r>
      <w:r w:rsidR="00EB67EA">
        <w:rPr>
          <w:bCs/>
          <w:sz w:val="24"/>
          <w:szCs w:val="24"/>
        </w:rPr>
        <w:t xml:space="preserve">образци от представителна извадка </w:t>
      </w:r>
      <w:r w:rsidR="00327E4D" w:rsidRPr="001C4A98">
        <w:rPr>
          <w:bCs/>
          <w:sz w:val="24"/>
          <w:szCs w:val="24"/>
        </w:rPr>
        <w:t>ТУМГ</w:t>
      </w:r>
      <w:r w:rsidR="009D7714" w:rsidRPr="001C4A98">
        <w:rPr>
          <w:bCs/>
          <w:sz w:val="24"/>
          <w:szCs w:val="24"/>
        </w:rPr>
        <w:t>,</w:t>
      </w:r>
      <w:r w:rsidR="00814095" w:rsidRPr="001C4A98">
        <w:rPr>
          <w:bCs/>
          <w:sz w:val="24"/>
          <w:szCs w:val="24"/>
        </w:rPr>
        <w:t xml:space="preserve"> както и </w:t>
      </w:r>
      <w:r w:rsidR="00B96EE6" w:rsidRPr="001C4A98">
        <w:rPr>
          <w:bCs/>
          <w:sz w:val="24"/>
          <w:szCs w:val="24"/>
        </w:rPr>
        <w:t xml:space="preserve">на </w:t>
      </w:r>
      <w:r w:rsidR="009D7714" w:rsidRPr="001C4A98">
        <w:rPr>
          <w:bCs/>
          <w:sz w:val="24"/>
          <w:szCs w:val="24"/>
        </w:rPr>
        <w:t xml:space="preserve">съпътстващата ги </w:t>
      </w:r>
      <w:r w:rsidR="00B96EE6" w:rsidRPr="001C4A98">
        <w:rPr>
          <w:bCs/>
          <w:sz w:val="24"/>
          <w:szCs w:val="24"/>
        </w:rPr>
        <w:t xml:space="preserve">документация, </w:t>
      </w:r>
      <w:r w:rsidR="00E614E5" w:rsidRPr="001C4A98">
        <w:rPr>
          <w:bCs/>
          <w:sz w:val="24"/>
          <w:szCs w:val="24"/>
        </w:rPr>
        <w:t xml:space="preserve">с </w:t>
      </w:r>
      <w:r w:rsidR="00B96EE6" w:rsidRPr="001C4A98">
        <w:rPr>
          <w:bCs/>
          <w:sz w:val="24"/>
          <w:szCs w:val="24"/>
        </w:rPr>
        <w:t>която ЦИК</w:t>
      </w:r>
      <w:r w:rsidR="00D63C37" w:rsidRPr="001C4A98">
        <w:rPr>
          <w:bCs/>
          <w:sz w:val="24"/>
          <w:szCs w:val="24"/>
        </w:rPr>
        <w:t xml:space="preserve"> и И</w:t>
      </w:r>
      <w:r w:rsidR="00073987" w:rsidRPr="001C4A98">
        <w:rPr>
          <w:bCs/>
          <w:sz w:val="24"/>
          <w:szCs w:val="24"/>
        </w:rPr>
        <w:t>зпълнителят</w:t>
      </w:r>
      <w:r w:rsidR="00364724" w:rsidRPr="00AF17E7">
        <w:rPr>
          <w:bCs/>
          <w:sz w:val="24"/>
          <w:szCs w:val="24"/>
          <w:lang w:val="ru-RU"/>
        </w:rPr>
        <w:t xml:space="preserve"> </w:t>
      </w:r>
      <w:r w:rsidR="00364724">
        <w:rPr>
          <w:bCs/>
          <w:sz w:val="24"/>
          <w:szCs w:val="24"/>
        </w:rPr>
        <w:t>на дейности</w:t>
      </w:r>
      <w:r w:rsidR="00EB67EA">
        <w:rPr>
          <w:bCs/>
          <w:sz w:val="24"/>
          <w:szCs w:val="24"/>
        </w:rPr>
        <w:t>те</w:t>
      </w:r>
      <w:r w:rsidR="00364724">
        <w:rPr>
          <w:bCs/>
          <w:sz w:val="24"/>
          <w:szCs w:val="24"/>
        </w:rPr>
        <w:t xml:space="preserve"> по подготовката и провеждането на машинно гласуване</w:t>
      </w:r>
      <w:r w:rsidR="00E06E86" w:rsidRPr="001C4A98">
        <w:rPr>
          <w:bCs/>
          <w:sz w:val="24"/>
          <w:szCs w:val="24"/>
        </w:rPr>
        <w:t xml:space="preserve"> </w:t>
      </w:r>
      <w:r w:rsidR="00E614E5" w:rsidRPr="001C4A98">
        <w:rPr>
          <w:bCs/>
          <w:sz w:val="24"/>
          <w:szCs w:val="24"/>
        </w:rPr>
        <w:t>разполага</w:t>
      </w:r>
      <w:r w:rsidR="00DF5CEE" w:rsidRPr="001C4A98">
        <w:rPr>
          <w:bCs/>
          <w:sz w:val="24"/>
          <w:szCs w:val="24"/>
        </w:rPr>
        <w:t>т</w:t>
      </w:r>
      <w:r w:rsidR="00E614E5" w:rsidRPr="001C4A98">
        <w:rPr>
          <w:bCs/>
          <w:sz w:val="24"/>
          <w:szCs w:val="24"/>
        </w:rPr>
        <w:t xml:space="preserve"> относно </w:t>
      </w:r>
      <w:r w:rsidR="00814095" w:rsidRPr="001C4A98">
        <w:rPr>
          <w:bCs/>
          <w:sz w:val="24"/>
          <w:szCs w:val="24"/>
        </w:rPr>
        <w:t>тях</w:t>
      </w:r>
      <w:r w:rsidR="00B74766" w:rsidRPr="001C4A98">
        <w:rPr>
          <w:bCs/>
          <w:sz w:val="24"/>
          <w:szCs w:val="24"/>
        </w:rPr>
        <w:t xml:space="preserve"> и за които са преценили, че са достатъчни за целите на удостоверяване на съответствието</w:t>
      </w:r>
      <w:r w:rsidR="00B96EE6" w:rsidRPr="001C4A98">
        <w:rPr>
          <w:bCs/>
          <w:sz w:val="24"/>
          <w:szCs w:val="24"/>
        </w:rPr>
        <w:t>.</w:t>
      </w:r>
      <w:r w:rsidR="00565ECA" w:rsidRPr="001C4A98">
        <w:rPr>
          <w:bCs/>
          <w:sz w:val="24"/>
          <w:szCs w:val="24"/>
        </w:rPr>
        <w:t xml:space="preserve"> </w:t>
      </w:r>
    </w:p>
    <w:p w14:paraId="63AD0050" w14:textId="4F343919" w:rsidR="00565ECA" w:rsidRPr="001C4A98" w:rsidRDefault="00B1367B" w:rsidP="00565ECA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ЦИК п</w:t>
      </w:r>
      <w:r w:rsidR="00565ECA" w:rsidRPr="001C4A98">
        <w:rPr>
          <w:bCs/>
          <w:sz w:val="24"/>
          <w:szCs w:val="24"/>
        </w:rPr>
        <w:t xml:space="preserve">редоставя </w:t>
      </w:r>
      <w:r w:rsidR="00B74766" w:rsidRPr="001C4A98">
        <w:rPr>
          <w:bCs/>
          <w:sz w:val="24"/>
          <w:szCs w:val="24"/>
        </w:rPr>
        <w:t>образци от представителна</w:t>
      </w:r>
      <w:r w:rsidR="00435A71" w:rsidRPr="001C4A98">
        <w:rPr>
          <w:bCs/>
          <w:sz w:val="24"/>
          <w:szCs w:val="24"/>
        </w:rPr>
        <w:t xml:space="preserve"> извадк</w:t>
      </w:r>
      <w:r w:rsidR="00B74766" w:rsidRPr="001C4A98">
        <w:rPr>
          <w:bCs/>
          <w:sz w:val="24"/>
          <w:szCs w:val="24"/>
        </w:rPr>
        <w:t>а</w:t>
      </w:r>
      <w:r w:rsidR="00435A71" w:rsidRPr="001C4A98">
        <w:rPr>
          <w:bCs/>
          <w:sz w:val="24"/>
          <w:szCs w:val="24"/>
        </w:rPr>
        <w:t xml:space="preserve"> от </w:t>
      </w:r>
      <w:r w:rsidR="003A7241" w:rsidRPr="001C4A98">
        <w:rPr>
          <w:bCs/>
          <w:sz w:val="24"/>
          <w:szCs w:val="24"/>
        </w:rPr>
        <w:t>доставените</w:t>
      </w:r>
      <w:r w:rsidR="00565ECA" w:rsidRPr="001C4A98">
        <w:rPr>
          <w:bCs/>
          <w:sz w:val="24"/>
          <w:szCs w:val="24"/>
        </w:rPr>
        <w:t xml:space="preserve"> ТУМГ, които </w:t>
      </w:r>
      <w:r w:rsidR="00EB67EA">
        <w:rPr>
          <w:bCs/>
          <w:sz w:val="24"/>
          <w:szCs w:val="24"/>
        </w:rPr>
        <w:t xml:space="preserve">предстои да бъдат ползвани в изборите и които </w:t>
      </w:r>
      <w:r w:rsidR="00565ECA" w:rsidRPr="001C4A98">
        <w:rPr>
          <w:bCs/>
          <w:sz w:val="24"/>
          <w:szCs w:val="24"/>
        </w:rPr>
        <w:t>имат идентични характеристики и функционалност с тези на останалите устройства</w:t>
      </w:r>
      <w:r w:rsidR="000C6830">
        <w:rPr>
          <w:bCs/>
          <w:sz w:val="24"/>
          <w:szCs w:val="24"/>
        </w:rPr>
        <w:t>,</w:t>
      </w:r>
      <w:r w:rsidR="00A94B4E" w:rsidRPr="001C4A98">
        <w:rPr>
          <w:bCs/>
          <w:sz w:val="24"/>
          <w:szCs w:val="24"/>
        </w:rPr>
        <w:t xml:space="preserve"> което се доказва с декларация от </w:t>
      </w:r>
      <w:r w:rsidR="00364724">
        <w:rPr>
          <w:bCs/>
          <w:sz w:val="24"/>
          <w:szCs w:val="24"/>
        </w:rPr>
        <w:t>Изпълнителя</w:t>
      </w:r>
      <w:r w:rsidR="00A94B4E" w:rsidRPr="001C4A98">
        <w:rPr>
          <w:bCs/>
          <w:sz w:val="24"/>
          <w:szCs w:val="24"/>
        </w:rPr>
        <w:t>,</w:t>
      </w:r>
      <w:r w:rsidR="00565ECA" w:rsidRPr="001C4A98">
        <w:rPr>
          <w:bCs/>
          <w:sz w:val="24"/>
          <w:szCs w:val="24"/>
        </w:rPr>
        <w:t xml:space="preserve"> в комплект с инсталирани и настроени базов и </w:t>
      </w:r>
      <w:r w:rsidR="00CE172C" w:rsidRPr="001C4A98">
        <w:rPr>
          <w:bCs/>
          <w:sz w:val="24"/>
          <w:szCs w:val="24"/>
        </w:rPr>
        <w:t>приложен</w:t>
      </w:r>
      <w:r w:rsidR="00565ECA" w:rsidRPr="001C4A98">
        <w:rPr>
          <w:bCs/>
          <w:sz w:val="24"/>
          <w:szCs w:val="24"/>
        </w:rPr>
        <w:t xml:space="preserve"> софтуер</w:t>
      </w:r>
      <w:r w:rsidR="00E55C55" w:rsidRPr="001C4A98">
        <w:rPr>
          <w:bCs/>
          <w:sz w:val="24"/>
          <w:szCs w:val="24"/>
        </w:rPr>
        <w:t xml:space="preserve">. </w:t>
      </w:r>
      <w:r w:rsidR="00197D72" w:rsidRPr="001C4A98">
        <w:rPr>
          <w:bCs/>
          <w:sz w:val="24"/>
          <w:szCs w:val="24"/>
        </w:rPr>
        <w:t xml:space="preserve">Наред с посоченото, се предоставят </w:t>
      </w:r>
      <w:r w:rsidR="000051EC" w:rsidRPr="001C4A98">
        <w:rPr>
          <w:bCs/>
          <w:sz w:val="24"/>
          <w:szCs w:val="24"/>
        </w:rPr>
        <w:t>смарткарти</w:t>
      </w:r>
      <w:r w:rsidR="00565ECA" w:rsidRPr="001C4A98">
        <w:rPr>
          <w:bCs/>
          <w:sz w:val="24"/>
          <w:szCs w:val="24"/>
        </w:rPr>
        <w:t xml:space="preserve"> </w:t>
      </w:r>
      <w:r w:rsidR="000051EC" w:rsidRPr="001C4A98">
        <w:rPr>
          <w:bCs/>
          <w:sz w:val="24"/>
          <w:szCs w:val="24"/>
        </w:rPr>
        <w:t>и записващи технически устройства</w:t>
      </w:r>
      <w:r w:rsidR="00565ECA" w:rsidRPr="001C4A98">
        <w:rPr>
          <w:bCs/>
          <w:sz w:val="24"/>
          <w:szCs w:val="24"/>
        </w:rPr>
        <w:t xml:space="preserve"> </w:t>
      </w:r>
      <w:r w:rsidR="004805E3" w:rsidRPr="001C4A98">
        <w:rPr>
          <w:bCs/>
          <w:sz w:val="24"/>
          <w:szCs w:val="24"/>
        </w:rPr>
        <w:t xml:space="preserve">със </w:t>
      </w:r>
      <w:r w:rsidR="000051EC" w:rsidRPr="001C4A98">
        <w:rPr>
          <w:bCs/>
          <w:sz w:val="24"/>
          <w:szCs w:val="24"/>
        </w:rPr>
        <w:t xml:space="preserve">софтуер за </w:t>
      </w:r>
      <w:r w:rsidR="002062EF" w:rsidRPr="001C4A98">
        <w:rPr>
          <w:bCs/>
          <w:sz w:val="24"/>
          <w:szCs w:val="24"/>
        </w:rPr>
        <w:t>криптиране/декриптиране</w:t>
      </w:r>
      <w:r w:rsidR="009B34E5" w:rsidRPr="001C4A98">
        <w:rPr>
          <w:bCs/>
          <w:sz w:val="24"/>
          <w:szCs w:val="24"/>
        </w:rPr>
        <w:t xml:space="preserve"> и </w:t>
      </w:r>
      <w:r w:rsidR="000051EC" w:rsidRPr="001C4A98">
        <w:rPr>
          <w:bCs/>
          <w:sz w:val="24"/>
          <w:szCs w:val="24"/>
        </w:rPr>
        <w:t>тестови</w:t>
      </w:r>
      <w:r w:rsidR="000400E0">
        <w:rPr>
          <w:bCs/>
          <w:sz w:val="24"/>
          <w:szCs w:val="24"/>
        </w:rPr>
        <w:t>,</w:t>
      </w:r>
      <w:r w:rsidR="005236B4">
        <w:rPr>
          <w:bCs/>
          <w:sz w:val="24"/>
          <w:szCs w:val="24"/>
        </w:rPr>
        <w:t xml:space="preserve"> и реални</w:t>
      </w:r>
      <w:r w:rsidR="00565ECA" w:rsidRPr="001C4A98">
        <w:rPr>
          <w:bCs/>
          <w:sz w:val="24"/>
          <w:szCs w:val="24"/>
        </w:rPr>
        <w:t xml:space="preserve"> данни</w:t>
      </w:r>
      <w:r w:rsidR="0005280D" w:rsidRPr="001C4A98">
        <w:rPr>
          <w:bCs/>
          <w:sz w:val="24"/>
          <w:szCs w:val="24"/>
        </w:rPr>
        <w:t xml:space="preserve"> за конкретни СИК</w:t>
      </w:r>
      <w:r w:rsidR="00565ECA" w:rsidRPr="001C4A98">
        <w:rPr>
          <w:bCs/>
          <w:sz w:val="24"/>
          <w:szCs w:val="24"/>
        </w:rPr>
        <w:t xml:space="preserve"> </w:t>
      </w:r>
      <w:r w:rsidR="008F0580">
        <w:rPr>
          <w:bCs/>
          <w:sz w:val="24"/>
          <w:szCs w:val="24"/>
        </w:rPr>
        <w:t xml:space="preserve">- </w:t>
      </w:r>
      <w:r w:rsidR="009B34E5" w:rsidRPr="001C4A98">
        <w:rPr>
          <w:bCs/>
          <w:sz w:val="24"/>
          <w:szCs w:val="24"/>
        </w:rPr>
        <w:t xml:space="preserve">за </w:t>
      </w:r>
      <w:r w:rsidR="00565ECA" w:rsidRPr="001C4A98">
        <w:rPr>
          <w:bCs/>
          <w:sz w:val="24"/>
          <w:szCs w:val="24"/>
        </w:rPr>
        <w:t xml:space="preserve">провеждане на технологични и </w:t>
      </w:r>
      <w:r w:rsidR="002062EF" w:rsidRPr="001C4A98">
        <w:rPr>
          <w:bCs/>
          <w:sz w:val="24"/>
          <w:szCs w:val="24"/>
        </w:rPr>
        <w:t>функционални изпитвания</w:t>
      </w:r>
      <w:r w:rsidR="009B34E5" w:rsidRPr="001C4A98">
        <w:rPr>
          <w:bCs/>
          <w:sz w:val="24"/>
          <w:szCs w:val="24"/>
        </w:rPr>
        <w:t xml:space="preserve">, </w:t>
      </w:r>
      <w:r w:rsidR="005C2AC3" w:rsidRPr="001C4A98">
        <w:rPr>
          <w:bCs/>
          <w:sz w:val="24"/>
          <w:szCs w:val="24"/>
        </w:rPr>
        <w:t xml:space="preserve">необходимите </w:t>
      </w:r>
      <w:r w:rsidR="002062EF" w:rsidRPr="001C4A98">
        <w:rPr>
          <w:bCs/>
          <w:sz w:val="24"/>
          <w:szCs w:val="24"/>
        </w:rPr>
        <w:t>консумативи</w:t>
      </w:r>
      <w:r w:rsidR="00EF14AB" w:rsidRPr="001C4A98">
        <w:rPr>
          <w:bCs/>
          <w:sz w:val="24"/>
          <w:szCs w:val="24"/>
        </w:rPr>
        <w:t xml:space="preserve">, както и всяка друга документация, която е преценена за уместна и достатъчна с цел доказване на съответствието на характеристиките, функционалността и сигурността на ТУМГ с </w:t>
      </w:r>
      <w:r w:rsidR="00EF14AB" w:rsidRPr="002B1EEF">
        <w:rPr>
          <w:bCs/>
          <w:sz w:val="24"/>
          <w:szCs w:val="24"/>
        </w:rPr>
        <w:t>изискванията на чл. 213, ал. 3 от Изборния кодекс</w:t>
      </w:r>
      <w:r w:rsidR="00515585">
        <w:rPr>
          <w:bCs/>
          <w:sz w:val="24"/>
          <w:szCs w:val="24"/>
        </w:rPr>
        <w:t xml:space="preserve"> и изискванията на техническата спецификация</w:t>
      </w:r>
      <w:r w:rsidR="008F0580">
        <w:rPr>
          <w:bCs/>
          <w:sz w:val="24"/>
          <w:szCs w:val="24"/>
        </w:rPr>
        <w:t xml:space="preserve">. </w:t>
      </w:r>
      <w:r w:rsidR="00EF14AB" w:rsidRPr="002B1EEF">
        <w:rPr>
          <w:bCs/>
          <w:sz w:val="24"/>
          <w:szCs w:val="24"/>
        </w:rPr>
        <w:t xml:space="preserve"> </w:t>
      </w:r>
    </w:p>
    <w:p w14:paraId="55BF4D31" w14:textId="40A31101" w:rsidR="00EF14AB" w:rsidRDefault="00EF14AB" w:rsidP="00565ECA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За извършването на пълноценни изпитвания от страна на специализираните екипи за оценяване </w:t>
      </w:r>
      <w:r w:rsidR="00DE60A3" w:rsidRPr="001C4A98">
        <w:rPr>
          <w:bCs/>
          <w:sz w:val="24"/>
          <w:szCs w:val="24"/>
        </w:rPr>
        <w:t xml:space="preserve">на съответствието </w:t>
      </w:r>
      <w:r w:rsidRPr="001C4A98">
        <w:rPr>
          <w:bCs/>
          <w:sz w:val="24"/>
          <w:szCs w:val="24"/>
        </w:rPr>
        <w:t>трябва да им бъдат предоставени програмния</w:t>
      </w:r>
      <w:r w:rsidR="00B74766" w:rsidRPr="001C4A98">
        <w:rPr>
          <w:bCs/>
          <w:sz w:val="24"/>
          <w:szCs w:val="24"/>
        </w:rPr>
        <w:t xml:space="preserve"> (изходния)</w:t>
      </w:r>
      <w:r w:rsidRPr="001C4A98">
        <w:rPr>
          <w:bCs/>
          <w:sz w:val="24"/>
          <w:szCs w:val="24"/>
        </w:rPr>
        <w:t xml:space="preserve"> код на приложния (реализиращ изборните процеси) софтуер, </w:t>
      </w:r>
      <w:r w:rsidR="0022187C" w:rsidRPr="001C4A98">
        <w:rPr>
          <w:bCs/>
          <w:sz w:val="24"/>
          <w:szCs w:val="24"/>
        </w:rPr>
        <w:t xml:space="preserve">наличния </w:t>
      </w:r>
      <w:r w:rsidRPr="001C4A98">
        <w:rPr>
          <w:bCs/>
          <w:sz w:val="24"/>
          <w:szCs w:val="24"/>
        </w:rPr>
        <w:t xml:space="preserve">софтуер за тестване и диагностика и всички администраторски права и средства за оторизация с цел осигуряване на пълен достъп до </w:t>
      </w:r>
      <w:r w:rsidR="00CE172C" w:rsidRPr="001C4A98">
        <w:rPr>
          <w:bCs/>
          <w:sz w:val="24"/>
          <w:szCs w:val="24"/>
        </w:rPr>
        <w:t>базовия, приложния</w:t>
      </w:r>
      <w:r w:rsidRPr="001C4A98">
        <w:rPr>
          <w:bCs/>
          <w:sz w:val="24"/>
          <w:szCs w:val="24"/>
        </w:rPr>
        <w:t xml:space="preserve">, криптиращия софтуер и до софтуера за оторизация, както и за достъп до компонентите на апаратната част на </w:t>
      </w:r>
      <w:r w:rsidR="00B74766" w:rsidRPr="001C4A98">
        <w:rPr>
          <w:bCs/>
          <w:sz w:val="24"/>
          <w:szCs w:val="24"/>
        </w:rPr>
        <w:t>пре</w:t>
      </w:r>
      <w:r w:rsidRPr="001C4A98">
        <w:rPr>
          <w:bCs/>
          <w:sz w:val="24"/>
          <w:szCs w:val="24"/>
        </w:rPr>
        <w:t xml:space="preserve">доставения тип </w:t>
      </w:r>
      <w:r w:rsidR="000D2FFE" w:rsidRPr="001C4A98">
        <w:rPr>
          <w:bCs/>
          <w:sz w:val="24"/>
          <w:szCs w:val="24"/>
        </w:rPr>
        <w:t>ТУМГ</w:t>
      </w:r>
      <w:r w:rsidRPr="001C4A98">
        <w:rPr>
          <w:bCs/>
          <w:sz w:val="24"/>
          <w:szCs w:val="24"/>
        </w:rPr>
        <w:t>.</w:t>
      </w:r>
    </w:p>
    <w:p w14:paraId="12521A3F" w14:textId="61132CEC" w:rsidR="008A4B18" w:rsidRPr="00D661E2" w:rsidRDefault="008A4B18" w:rsidP="00565ECA">
      <w:pPr>
        <w:spacing w:after="120" w:line="240" w:lineRule="auto"/>
        <w:jc w:val="both"/>
        <w:rPr>
          <w:bCs/>
          <w:sz w:val="24"/>
          <w:szCs w:val="24"/>
        </w:rPr>
      </w:pPr>
      <w:r w:rsidRPr="00D661E2">
        <w:rPr>
          <w:bCs/>
          <w:sz w:val="24"/>
          <w:szCs w:val="24"/>
        </w:rPr>
        <w:t xml:space="preserve">В случай на установяване на </w:t>
      </w:r>
      <w:proofErr w:type="spellStart"/>
      <w:r w:rsidRPr="00D661E2">
        <w:rPr>
          <w:bCs/>
          <w:sz w:val="24"/>
          <w:szCs w:val="24"/>
        </w:rPr>
        <w:t>неокомплектованост</w:t>
      </w:r>
      <w:proofErr w:type="spellEnd"/>
      <w:r w:rsidRPr="00D661E2">
        <w:rPr>
          <w:bCs/>
          <w:sz w:val="24"/>
          <w:szCs w:val="24"/>
        </w:rPr>
        <w:t xml:space="preserve"> или липса на отделна съставна част, компоненти, периферно устройство, консумативи и/или документация, незабавно </w:t>
      </w:r>
      <w:r w:rsidR="0023587E" w:rsidRPr="00D661E2">
        <w:rPr>
          <w:bCs/>
          <w:sz w:val="24"/>
          <w:szCs w:val="24"/>
        </w:rPr>
        <w:t xml:space="preserve">писмено </w:t>
      </w:r>
      <w:r w:rsidRPr="00D661E2">
        <w:rPr>
          <w:bCs/>
          <w:sz w:val="24"/>
          <w:szCs w:val="24"/>
        </w:rPr>
        <w:t>се информира ЦИК и Изпълнителя/</w:t>
      </w:r>
      <w:proofErr w:type="spellStart"/>
      <w:r w:rsidRPr="00D661E2">
        <w:rPr>
          <w:bCs/>
          <w:sz w:val="24"/>
          <w:szCs w:val="24"/>
        </w:rPr>
        <w:t>ите</w:t>
      </w:r>
      <w:proofErr w:type="spellEnd"/>
      <w:r w:rsidRPr="00D661E2">
        <w:rPr>
          <w:bCs/>
          <w:sz w:val="24"/>
          <w:szCs w:val="24"/>
        </w:rPr>
        <w:t xml:space="preserve"> по договорите за доставка и техническо осигуряване и се определя срок за отстраняване на констатирания недостатък.</w:t>
      </w:r>
    </w:p>
    <w:p w14:paraId="26CED20B" w14:textId="769C87BE" w:rsidR="00CC76C4" w:rsidRPr="001C4A98" w:rsidRDefault="0032259B" w:rsidP="00233248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4.</w:t>
      </w:r>
      <w:r w:rsidR="00F51D8F" w:rsidRPr="001C4A98">
        <w:rPr>
          <w:b/>
          <w:bCs/>
          <w:sz w:val="24"/>
          <w:szCs w:val="24"/>
        </w:rPr>
        <w:t xml:space="preserve">2. </w:t>
      </w:r>
      <w:r w:rsidR="0002766C" w:rsidRPr="001C4A98">
        <w:rPr>
          <w:bCs/>
          <w:sz w:val="24"/>
          <w:szCs w:val="24"/>
        </w:rPr>
        <w:t xml:space="preserve">Назначаване на екипи за оценяване на съответствието на доставения тип </w:t>
      </w:r>
      <w:r w:rsidR="00327E4D" w:rsidRPr="001C4A98">
        <w:rPr>
          <w:bCs/>
          <w:sz w:val="24"/>
          <w:szCs w:val="24"/>
        </w:rPr>
        <w:t>ТУМГ</w:t>
      </w:r>
      <w:r w:rsidR="00894BFB" w:rsidRPr="001C4A98">
        <w:rPr>
          <w:bCs/>
          <w:sz w:val="24"/>
          <w:szCs w:val="24"/>
        </w:rPr>
        <w:t xml:space="preserve"> </w:t>
      </w:r>
      <w:r w:rsidR="00CB17DA" w:rsidRPr="001C4A98">
        <w:rPr>
          <w:bCs/>
          <w:sz w:val="24"/>
          <w:szCs w:val="24"/>
        </w:rPr>
        <w:t xml:space="preserve">- </w:t>
      </w:r>
      <w:r w:rsidR="005F1BD4" w:rsidRPr="001C4A98">
        <w:rPr>
          <w:bCs/>
          <w:sz w:val="24"/>
          <w:szCs w:val="24"/>
        </w:rPr>
        <w:t>извършва се със заповед</w:t>
      </w:r>
      <w:r w:rsidR="00251DEE" w:rsidRPr="001C4A98">
        <w:rPr>
          <w:bCs/>
          <w:sz w:val="24"/>
          <w:szCs w:val="24"/>
        </w:rPr>
        <w:t xml:space="preserve"> на председателя на ДАЕУ, председателя на БИМ и председателя</w:t>
      </w:r>
      <w:r w:rsidR="0002766C" w:rsidRPr="001C4A98">
        <w:rPr>
          <w:bCs/>
          <w:sz w:val="24"/>
          <w:szCs w:val="24"/>
        </w:rPr>
        <w:t xml:space="preserve"> на УС на БИС в</w:t>
      </w:r>
      <w:r w:rsidR="00CC76C4" w:rsidRPr="001C4A98">
        <w:rPr>
          <w:bCs/>
          <w:sz w:val="24"/>
          <w:szCs w:val="24"/>
        </w:rPr>
        <w:t xml:space="preserve"> </w:t>
      </w:r>
      <w:r w:rsidR="00B74766" w:rsidRPr="001C4A98">
        <w:rPr>
          <w:bCs/>
          <w:sz w:val="24"/>
          <w:szCs w:val="24"/>
        </w:rPr>
        <w:t>дву</w:t>
      </w:r>
      <w:r w:rsidR="00CC76C4" w:rsidRPr="001C4A98">
        <w:rPr>
          <w:bCs/>
          <w:sz w:val="24"/>
          <w:szCs w:val="24"/>
        </w:rPr>
        <w:t xml:space="preserve">дневен срок от получаването на </w:t>
      </w:r>
      <w:r w:rsidR="00B74766" w:rsidRPr="001C4A98">
        <w:rPr>
          <w:bCs/>
          <w:sz w:val="24"/>
          <w:szCs w:val="24"/>
        </w:rPr>
        <w:t xml:space="preserve">образците от </w:t>
      </w:r>
      <w:r w:rsidR="0098629F" w:rsidRPr="001C4A98">
        <w:rPr>
          <w:bCs/>
          <w:sz w:val="24"/>
          <w:szCs w:val="24"/>
        </w:rPr>
        <w:t>представителн</w:t>
      </w:r>
      <w:r w:rsidR="00B74766" w:rsidRPr="001C4A98">
        <w:rPr>
          <w:bCs/>
          <w:sz w:val="24"/>
          <w:szCs w:val="24"/>
        </w:rPr>
        <w:t>а</w:t>
      </w:r>
      <w:r w:rsidR="0098629F" w:rsidRPr="001C4A98">
        <w:rPr>
          <w:bCs/>
          <w:sz w:val="24"/>
          <w:szCs w:val="24"/>
        </w:rPr>
        <w:t xml:space="preserve"> извадк</w:t>
      </w:r>
      <w:r w:rsidR="00B74766" w:rsidRPr="001C4A98">
        <w:rPr>
          <w:bCs/>
          <w:sz w:val="24"/>
          <w:szCs w:val="24"/>
        </w:rPr>
        <w:t>а</w:t>
      </w:r>
      <w:r w:rsidR="0098629F" w:rsidRPr="001C4A98">
        <w:rPr>
          <w:bCs/>
          <w:sz w:val="24"/>
          <w:szCs w:val="24"/>
        </w:rPr>
        <w:t xml:space="preserve"> от </w:t>
      </w:r>
      <w:r w:rsidR="00CC76C4" w:rsidRPr="001C4A98">
        <w:rPr>
          <w:bCs/>
          <w:sz w:val="24"/>
          <w:szCs w:val="24"/>
        </w:rPr>
        <w:t>доставения тип ТУМГ, ведно с</w:t>
      </w:r>
      <w:r w:rsidR="0002766C" w:rsidRPr="001C4A98">
        <w:rPr>
          <w:bCs/>
          <w:sz w:val="24"/>
          <w:szCs w:val="24"/>
        </w:rPr>
        <w:t xml:space="preserve"> придружаващата ги документация. </w:t>
      </w:r>
      <w:r w:rsidR="00CC76C4" w:rsidRPr="001C4A98">
        <w:rPr>
          <w:bCs/>
          <w:sz w:val="24"/>
          <w:szCs w:val="24"/>
        </w:rPr>
        <w:t xml:space="preserve"> Екипите включват експерти от ДАЕУ, БИМ и БИС, </w:t>
      </w:r>
      <w:r w:rsidR="00EC0D98" w:rsidRPr="001C4A98">
        <w:rPr>
          <w:bCs/>
          <w:sz w:val="24"/>
          <w:szCs w:val="24"/>
        </w:rPr>
        <w:t>както и външни експерти</w:t>
      </w:r>
      <w:r w:rsidR="009D6DA7" w:rsidRPr="001C4A98">
        <w:rPr>
          <w:bCs/>
          <w:sz w:val="24"/>
          <w:szCs w:val="24"/>
        </w:rPr>
        <w:t xml:space="preserve">. Експертите трябва да </w:t>
      </w:r>
      <w:r w:rsidR="00CC76C4" w:rsidRPr="001C4A98">
        <w:rPr>
          <w:bCs/>
          <w:sz w:val="24"/>
          <w:szCs w:val="24"/>
        </w:rPr>
        <w:t>притежават подходящата професионална квалификация</w:t>
      </w:r>
      <w:r w:rsidR="00286B9D" w:rsidRPr="001C4A98">
        <w:rPr>
          <w:bCs/>
          <w:sz w:val="24"/>
          <w:szCs w:val="24"/>
        </w:rPr>
        <w:t>, компетентност</w:t>
      </w:r>
      <w:r w:rsidR="00CC76C4" w:rsidRPr="001C4A98">
        <w:rPr>
          <w:bCs/>
          <w:sz w:val="24"/>
          <w:szCs w:val="24"/>
        </w:rPr>
        <w:t xml:space="preserve"> и опит</w:t>
      </w:r>
      <w:r w:rsidR="00286B9D" w:rsidRPr="001C4A98">
        <w:rPr>
          <w:bCs/>
          <w:sz w:val="24"/>
          <w:szCs w:val="24"/>
        </w:rPr>
        <w:t xml:space="preserve"> в съответната област</w:t>
      </w:r>
      <w:r w:rsidR="009D6DA7" w:rsidRPr="001C4A98">
        <w:rPr>
          <w:bCs/>
          <w:sz w:val="24"/>
          <w:szCs w:val="24"/>
        </w:rPr>
        <w:t xml:space="preserve">, </w:t>
      </w:r>
      <w:r w:rsidR="004767EE" w:rsidRPr="001C4A98">
        <w:rPr>
          <w:bCs/>
          <w:sz w:val="24"/>
          <w:szCs w:val="24"/>
        </w:rPr>
        <w:t>удостоверени</w:t>
      </w:r>
      <w:r w:rsidR="009D6DA7" w:rsidRPr="001C4A98">
        <w:rPr>
          <w:bCs/>
          <w:sz w:val="24"/>
          <w:szCs w:val="24"/>
        </w:rPr>
        <w:t xml:space="preserve"> с документи</w:t>
      </w:r>
      <w:r w:rsidR="00CC76C4" w:rsidRPr="001C4A98">
        <w:rPr>
          <w:bCs/>
          <w:sz w:val="24"/>
          <w:szCs w:val="24"/>
        </w:rPr>
        <w:t xml:space="preserve">. В заповедта изрично се посочва кои експерти ще </w:t>
      </w:r>
      <w:r w:rsidR="00AB70A3" w:rsidRPr="001C4A98">
        <w:rPr>
          <w:bCs/>
          <w:sz w:val="24"/>
          <w:szCs w:val="24"/>
        </w:rPr>
        <w:t>бъдат включени в съответните екипи</w:t>
      </w:r>
      <w:r w:rsidR="002A2E67" w:rsidRPr="001C4A98">
        <w:rPr>
          <w:bCs/>
          <w:sz w:val="24"/>
          <w:szCs w:val="24"/>
        </w:rPr>
        <w:t>,</w:t>
      </w:r>
      <w:r w:rsidR="00AB70A3" w:rsidRPr="001C4A98">
        <w:rPr>
          <w:bCs/>
          <w:sz w:val="24"/>
          <w:szCs w:val="24"/>
        </w:rPr>
        <w:t xml:space="preserve"> за да </w:t>
      </w:r>
      <w:r w:rsidR="00CC76C4" w:rsidRPr="001C4A98">
        <w:rPr>
          <w:bCs/>
          <w:sz w:val="24"/>
          <w:szCs w:val="24"/>
        </w:rPr>
        <w:t>извърш</w:t>
      </w:r>
      <w:r w:rsidR="00AB70A3" w:rsidRPr="001C4A98">
        <w:rPr>
          <w:bCs/>
          <w:sz w:val="24"/>
          <w:szCs w:val="24"/>
        </w:rPr>
        <w:t>ат</w:t>
      </w:r>
      <w:r w:rsidR="00CC76C4" w:rsidRPr="001C4A98">
        <w:rPr>
          <w:bCs/>
          <w:sz w:val="24"/>
          <w:szCs w:val="24"/>
        </w:rPr>
        <w:t xml:space="preserve"> дейности</w:t>
      </w:r>
      <w:r w:rsidR="00AB70A3" w:rsidRPr="001C4A98">
        <w:rPr>
          <w:bCs/>
          <w:sz w:val="24"/>
          <w:szCs w:val="24"/>
        </w:rPr>
        <w:t>те</w:t>
      </w:r>
      <w:r w:rsidR="00CC76C4" w:rsidRPr="001C4A98">
        <w:rPr>
          <w:bCs/>
          <w:sz w:val="24"/>
          <w:szCs w:val="24"/>
        </w:rPr>
        <w:t>, описани в т.</w:t>
      </w:r>
      <w:r w:rsidR="00B74766" w:rsidRPr="001C4A98">
        <w:rPr>
          <w:bCs/>
          <w:sz w:val="24"/>
          <w:szCs w:val="24"/>
        </w:rPr>
        <w:t xml:space="preserve"> </w:t>
      </w:r>
      <w:r w:rsidR="00CF20E2" w:rsidRPr="001C4A98">
        <w:rPr>
          <w:bCs/>
          <w:sz w:val="24"/>
          <w:szCs w:val="24"/>
        </w:rPr>
        <w:t>6</w:t>
      </w:r>
      <w:r w:rsidR="00B71155" w:rsidRPr="001C4A98">
        <w:rPr>
          <w:bCs/>
          <w:sz w:val="24"/>
          <w:szCs w:val="24"/>
        </w:rPr>
        <w:t>.</w:t>
      </w:r>
      <w:r w:rsidR="00CC76C4" w:rsidRPr="001C4A98">
        <w:rPr>
          <w:bCs/>
          <w:sz w:val="24"/>
          <w:szCs w:val="24"/>
        </w:rPr>
        <w:t xml:space="preserve"> от настоящата </w:t>
      </w:r>
      <w:r w:rsidR="00AB70A3" w:rsidRPr="001C4A98">
        <w:rPr>
          <w:bCs/>
          <w:sz w:val="24"/>
          <w:szCs w:val="24"/>
        </w:rPr>
        <w:t>М</w:t>
      </w:r>
      <w:r w:rsidR="00CC76C4" w:rsidRPr="001C4A98">
        <w:rPr>
          <w:bCs/>
          <w:sz w:val="24"/>
          <w:szCs w:val="24"/>
        </w:rPr>
        <w:t>етодика</w:t>
      </w:r>
      <w:r w:rsidR="00AB70A3" w:rsidRPr="001C4A98">
        <w:rPr>
          <w:bCs/>
          <w:sz w:val="24"/>
          <w:szCs w:val="24"/>
        </w:rPr>
        <w:t>.</w:t>
      </w:r>
      <w:r w:rsidR="00CC76C4" w:rsidRPr="001C4A98">
        <w:rPr>
          <w:bCs/>
          <w:sz w:val="24"/>
          <w:szCs w:val="24"/>
        </w:rPr>
        <w:t xml:space="preserve"> </w:t>
      </w:r>
      <w:r w:rsidR="000F20EA" w:rsidRPr="001C4A98">
        <w:rPr>
          <w:bCs/>
          <w:sz w:val="24"/>
          <w:szCs w:val="24"/>
        </w:rPr>
        <w:t xml:space="preserve">Със заповедта се определят и ръководителите на конкретните екипи. </w:t>
      </w:r>
    </w:p>
    <w:p w14:paraId="675CAB90" w14:textId="2F88A389" w:rsidR="00CC76C4" w:rsidRPr="001C4A98" w:rsidRDefault="00CC76C4" w:rsidP="00233248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lastRenderedPageBreak/>
        <w:t xml:space="preserve">Членовете на екипите </w:t>
      </w:r>
      <w:r w:rsidR="00050441">
        <w:rPr>
          <w:bCs/>
          <w:sz w:val="24"/>
          <w:szCs w:val="24"/>
        </w:rPr>
        <w:t xml:space="preserve">и </w:t>
      </w:r>
      <w:r w:rsidR="00050441" w:rsidRPr="001C4A98">
        <w:rPr>
          <w:bCs/>
          <w:sz w:val="24"/>
          <w:szCs w:val="24"/>
        </w:rPr>
        <w:t xml:space="preserve">председателя на ДАЕУ, председателя на БИМ и председателя на УС на БИС </w:t>
      </w:r>
      <w:r w:rsidRPr="001C4A98">
        <w:rPr>
          <w:bCs/>
          <w:sz w:val="24"/>
          <w:szCs w:val="24"/>
        </w:rPr>
        <w:t xml:space="preserve">подписват декларации за </w:t>
      </w:r>
      <w:proofErr w:type="spellStart"/>
      <w:r w:rsidRPr="001C4A98">
        <w:rPr>
          <w:bCs/>
          <w:sz w:val="24"/>
          <w:szCs w:val="24"/>
        </w:rPr>
        <w:t>неразкриване</w:t>
      </w:r>
      <w:proofErr w:type="spellEnd"/>
      <w:r w:rsidRPr="001C4A98">
        <w:rPr>
          <w:bCs/>
          <w:sz w:val="24"/>
          <w:szCs w:val="24"/>
        </w:rPr>
        <w:t xml:space="preserve"> на информация и за липса на конфликт на интереси</w:t>
      </w:r>
      <w:r w:rsidR="00894BFB" w:rsidRPr="001C4A98">
        <w:rPr>
          <w:bCs/>
          <w:sz w:val="24"/>
          <w:szCs w:val="24"/>
        </w:rPr>
        <w:t>.</w:t>
      </w:r>
      <w:r w:rsidR="00AB3A92" w:rsidRPr="001C4A98">
        <w:rPr>
          <w:bCs/>
          <w:sz w:val="24"/>
          <w:szCs w:val="24"/>
        </w:rPr>
        <w:t xml:space="preserve"> </w:t>
      </w:r>
    </w:p>
    <w:p w14:paraId="692E9CA9" w14:textId="2D0C5792" w:rsidR="00AB70A3" w:rsidRDefault="0032259B" w:rsidP="00AC16FF">
      <w:pPr>
        <w:pStyle w:val="CommentText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4.</w:t>
      </w:r>
      <w:r w:rsidR="00523CFA" w:rsidRPr="001C4A98">
        <w:rPr>
          <w:b/>
          <w:bCs/>
          <w:sz w:val="24"/>
          <w:szCs w:val="24"/>
        </w:rPr>
        <w:t>3</w:t>
      </w:r>
      <w:r w:rsidR="00511983" w:rsidRPr="001C4A98">
        <w:rPr>
          <w:b/>
          <w:bCs/>
          <w:sz w:val="24"/>
          <w:szCs w:val="24"/>
        </w:rPr>
        <w:t>.</w:t>
      </w:r>
      <w:r w:rsidR="00511983" w:rsidRPr="001C4A98">
        <w:rPr>
          <w:bCs/>
          <w:sz w:val="24"/>
          <w:szCs w:val="24"/>
        </w:rPr>
        <w:t xml:space="preserve"> </w:t>
      </w:r>
      <w:r w:rsidR="009835FA" w:rsidRPr="001C4A98">
        <w:rPr>
          <w:bCs/>
          <w:sz w:val="24"/>
          <w:szCs w:val="24"/>
        </w:rPr>
        <w:t>П</w:t>
      </w:r>
      <w:r w:rsidR="00B96EE6" w:rsidRPr="001C4A98">
        <w:rPr>
          <w:bCs/>
          <w:sz w:val="24"/>
          <w:szCs w:val="24"/>
        </w:rPr>
        <w:t xml:space="preserve">реглед </w:t>
      </w:r>
      <w:r w:rsidR="00AB70A3" w:rsidRPr="001C4A98">
        <w:rPr>
          <w:bCs/>
          <w:sz w:val="24"/>
          <w:szCs w:val="24"/>
        </w:rPr>
        <w:t xml:space="preserve">и анализ </w:t>
      </w:r>
      <w:r w:rsidR="00B96EE6" w:rsidRPr="001C4A98">
        <w:rPr>
          <w:bCs/>
          <w:sz w:val="24"/>
          <w:szCs w:val="24"/>
        </w:rPr>
        <w:t>на документацията</w:t>
      </w:r>
      <w:r w:rsidR="00F01DB0" w:rsidRPr="001C4A98">
        <w:rPr>
          <w:bCs/>
          <w:sz w:val="24"/>
          <w:szCs w:val="24"/>
        </w:rPr>
        <w:t xml:space="preserve"> </w:t>
      </w:r>
      <w:r w:rsidR="000E3249" w:rsidRPr="001C4A98">
        <w:rPr>
          <w:bCs/>
          <w:sz w:val="24"/>
          <w:szCs w:val="24"/>
        </w:rPr>
        <w:t>-</w:t>
      </w:r>
      <w:r w:rsidR="003F6995" w:rsidRPr="001C4A98">
        <w:rPr>
          <w:bCs/>
          <w:sz w:val="24"/>
          <w:szCs w:val="24"/>
        </w:rPr>
        <w:t xml:space="preserve"> </w:t>
      </w:r>
      <w:r w:rsidR="00F01DB0" w:rsidRPr="001C4A98">
        <w:rPr>
          <w:bCs/>
          <w:sz w:val="24"/>
          <w:szCs w:val="24"/>
        </w:rPr>
        <w:t>извършва</w:t>
      </w:r>
      <w:r w:rsidR="006C0AF4" w:rsidRPr="001C4A98">
        <w:rPr>
          <w:bCs/>
          <w:sz w:val="24"/>
          <w:szCs w:val="24"/>
        </w:rPr>
        <w:t xml:space="preserve"> </w:t>
      </w:r>
      <w:r w:rsidR="000E3249" w:rsidRPr="001C4A98">
        <w:rPr>
          <w:bCs/>
          <w:sz w:val="24"/>
          <w:szCs w:val="24"/>
        </w:rPr>
        <w:t xml:space="preserve">се </w:t>
      </w:r>
      <w:r w:rsidR="009835FA" w:rsidRPr="001C4A98">
        <w:rPr>
          <w:bCs/>
          <w:sz w:val="24"/>
          <w:szCs w:val="24"/>
        </w:rPr>
        <w:t>от екипите по т. 4.</w:t>
      </w:r>
      <w:r w:rsidR="002B6711">
        <w:rPr>
          <w:bCs/>
          <w:sz w:val="24"/>
          <w:szCs w:val="24"/>
        </w:rPr>
        <w:t xml:space="preserve"> </w:t>
      </w:r>
      <w:r w:rsidR="009835FA" w:rsidRPr="001C4A98">
        <w:rPr>
          <w:bCs/>
          <w:sz w:val="24"/>
          <w:szCs w:val="24"/>
        </w:rPr>
        <w:t>2. и</w:t>
      </w:r>
      <w:r w:rsidR="00B96EE6" w:rsidRPr="001C4A98">
        <w:rPr>
          <w:bCs/>
          <w:sz w:val="24"/>
          <w:szCs w:val="24"/>
        </w:rPr>
        <w:t xml:space="preserve"> включва запознаване с </w:t>
      </w:r>
      <w:r w:rsidR="00CF3FA3" w:rsidRPr="001C4A98">
        <w:rPr>
          <w:bCs/>
          <w:sz w:val="24"/>
          <w:szCs w:val="24"/>
        </w:rPr>
        <w:t xml:space="preserve">предоставената </w:t>
      </w:r>
      <w:r w:rsidR="00B107F6" w:rsidRPr="001C4A98">
        <w:rPr>
          <w:bCs/>
          <w:sz w:val="24"/>
          <w:szCs w:val="24"/>
        </w:rPr>
        <w:t xml:space="preserve">от ЦИК </w:t>
      </w:r>
      <w:r w:rsidR="00B96EE6" w:rsidRPr="001C4A98">
        <w:rPr>
          <w:bCs/>
          <w:sz w:val="24"/>
          <w:szCs w:val="24"/>
        </w:rPr>
        <w:t>документация</w:t>
      </w:r>
      <w:r w:rsidR="00533D73" w:rsidRPr="001C4A98">
        <w:rPr>
          <w:bCs/>
          <w:sz w:val="24"/>
          <w:szCs w:val="24"/>
        </w:rPr>
        <w:t xml:space="preserve"> по т. 4.</w:t>
      </w:r>
      <w:r w:rsidR="002B6711">
        <w:rPr>
          <w:bCs/>
          <w:sz w:val="24"/>
          <w:szCs w:val="24"/>
        </w:rPr>
        <w:t xml:space="preserve"> </w:t>
      </w:r>
      <w:r w:rsidR="00533D73" w:rsidRPr="001C4A98">
        <w:rPr>
          <w:bCs/>
          <w:sz w:val="24"/>
          <w:szCs w:val="24"/>
        </w:rPr>
        <w:t>1</w:t>
      </w:r>
      <w:r w:rsidR="00D0041D" w:rsidRPr="001C4A98">
        <w:rPr>
          <w:bCs/>
          <w:sz w:val="24"/>
          <w:szCs w:val="24"/>
        </w:rPr>
        <w:t>.</w:t>
      </w:r>
      <w:r w:rsidR="00B96EE6" w:rsidRPr="001C4A98">
        <w:rPr>
          <w:bCs/>
          <w:sz w:val="24"/>
          <w:szCs w:val="24"/>
        </w:rPr>
        <w:t xml:space="preserve">, в т.ч. ръководства, инструкции, </w:t>
      </w:r>
      <w:r w:rsidR="00286B9D" w:rsidRPr="001C4A98">
        <w:rPr>
          <w:bCs/>
          <w:sz w:val="24"/>
          <w:szCs w:val="24"/>
        </w:rPr>
        <w:t xml:space="preserve">указания, </w:t>
      </w:r>
      <w:r w:rsidR="00B96EE6" w:rsidRPr="001C4A98">
        <w:rPr>
          <w:bCs/>
          <w:sz w:val="24"/>
          <w:szCs w:val="24"/>
        </w:rPr>
        <w:t xml:space="preserve">технически спецификации, резултати от </w:t>
      </w:r>
      <w:r w:rsidR="00B107F6" w:rsidRPr="001C4A98">
        <w:rPr>
          <w:bCs/>
          <w:sz w:val="24"/>
          <w:szCs w:val="24"/>
        </w:rPr>
        <w:t xml:space="preserve">оценки, извършени </w:t>
      </w:r>
      <w:r w:rsidR="00B96EE6" w:rsidRPr="001C4A98">
        <w:rPr>
          <w:bCs/>
          <w:sz w:val="24"/>
          <w:szCs w:val="24"/>
        </w:rPr>
        <w:t>от трета страна</w:t>
      </w:r>
      <w:r w:rsidR="00286B9D" w:rsidRPr="001C4A98">
        <w:rPr>
          <w:bCs/>
          <w:sz w:val="24"/>
          <w:szCs w:val="24"/>
        </w:rPr>
        <w:t>, както и</w:t>
      </w:r>
      <w:r w:rsidR="00B96EE6" w:rsidRPr="001C4A98">
        <w:rPr>
          <w:bCs/>
          <w:sz w:val="24"/>
          <w:szCs w:val="24"/>
        </w:rPr>
        <w:t xml:space="preserve"> всички </w:t>
      </w:r>
      <w:r w:rsidR="0028691C" w:rsidRPr="001C4A98">
        <w:rPr>
          <w:bCs/>
          <w:sz w:val="24"/>
          <w:szCs w:val="24"/>
        </w:rPr>
        <w:t xml:space="preserve">други </w:t>
      </w:r>
      <w:r w:rsidR="00B96EE6" w:rsidRPr="001C4A98">
        <w:rPr>
          <w:bCs/>
          <w:sz w:val="24"/>
          <w:szCs w:val="24"/>
        </w:rPr>
        <w:t xml:space="preserve">документи, представени от </w:t>
      </w:r>
      <w:r w:rsidR="00511983" w:rsidRPr="001C4A98">
        <w:rPr>
          <w:bCs/>
          <w:sz w:val="24"/>
          <w:szCs w:val="24"/>
        </w:rPr>
        <w:t xml:space="preserve">Производителя </w:t>
      </w:r>
      <w:r w:rsidR="00B96EE6" w:rsidRPr="001C4A98">
        <w:rPr>
          <w:bCs/>
          <w:sz w:val="24"/>
          <w:szCs w:val="24"/>
        </w:rPr>
        <w:t xml:space="preserve">и </w:t>
      </w:r>
      <w:r w:rsidR="00511983" w:rsidRPr="007213B7">
        <w:rPr>
          <w:bCs/>
          <w:sz w:val="24"/>
          <w:szCs w:val="24"/>
        </w:rPr>
        <w:t>Изпълнителя</w:t>
      </w:r>
      <w:r w:rsidR="003A1BC9" w:rsidRPr="007213B7">
        <w:rPr>
          <w:bCs/>
          <w:sz w:val="24"/>
          <w:szCs w:val="24"/>
        </w:rPr>
        <w:t>,</w:t>
      </w:r>
      <w:r w:rsidR="003A1BC9" w:rsidRPr="001C4A98">
        <w:rPr>
          <w:bCs/>
          <w:sz w:val="24"/>
          <w:szCs w:val="24"/>
        </w:rPr>
        <w:t xml:space="preserve"> </w:t>
      </w:r>
      <w:r w:rsidR="00B96EE6" w:rsidRPr="001C4A98">
        <w:rPr>
          <w:bCs/>
          <w:sz w:val="24"/>
          <w:szCs w:val="24"/>
        </w:rPr>
        <w:t>които според тях доказват съответствие на отделн</w:t>
      </w:r>
      <w:r w:rsidR="00E06E86" w:rsidRPr="001C4A98">
        <w:rPr>
          <w:bCs/>
          <w:sz w:val="24"/>
          <w:szCs w:val="24"/>
        </w:rPr>
        <w:t>а съставна част</w:t>
      </w:r>
      <w:r w:rsidR="008F0580">
        <w:rPr>
          <w:bCs/>
          <w:sz w:val="24"/>
          <w:szCs w:val="24"/>
        </w:rPr>
        <w:t>, периферно устройство, консумативи</w:t>
      </w:r>
      <w:r w:rsidR="00B96EE6" w:rsidRPr="001C4A98">
        <w:rPr>
          <w:bCs/>
          <w:sz w:val="24"/>
          <w:szCs w:val="24"/>
        </w:rPr>
        <w:t xml:space="preserve"> или на </w:t>
      </w:r>
      <w:r w:rsidR="00CF3FA3" w:rsidRPr="001C4A98">
        <w:rPr>
          <w:bCs/>
          <w:sz w:val="24"/>
          <w:szCs w:val="24"/>
        </w:rPr>
        <w:t>ТУМГ</w:t>
      </w:r>
      <w:r w:rsidR="00B96EE6" w:rsidRPr="001C4A98">
        <w:rPr>
          <w:bCs/>
          <w:sz w:val="24"/>
          <w:szCs w:val="24"/>
        </w:rPr>
        <w:t xml:space="preserve"> в цялост с изискванията</w:t>
      </w:r>
      <w:r w:rsidR="008F0580">
        <w:rPr>
          <w:bCs/>
          <w:sz w:val="24"/>
          <w:szCs w:val="24"/>
        </w:rPr>
        <w:t xml:space="preserve"> </w:t>
      </w:r>
      <w:r w:rsidR="008F0580" w:rsidRPr="002B1EEF">
        <w:rPr>
          <w:bCs/>
          <w:sz w:val="24"/>
          <w:szCs w:val="24"/>
        </w:rPr>
        <w:t>на чл. 213, ал. 3 от Изборния кодекс</w:t>
      </w:r>
      <w:r w:rsidR="00515585">
        <w:rPr>
          <w:bCs/>
          <w:sz w:val="24"/>
          <w:szCs w:val="24"/>
        </w:rPr>
        <w:t xml:space="preserve"> и изискванията на техническата спецификация</w:t>
      </w:r>
      <w:r w:rsidR="00B5324C" w:rsidRPr="001C4A98">
        <w:rPr>
          <w:bCs/>
          <w:sz w:val="24"/>
          <w:szCs w:val="24"/>
        </w:rPr>
        <w:t>.</w:t>
      </w:r>
    </w:p>
    <w:p w14:paraId="079FCADE" w14:textId="4A32B1F7" w:rsidR="00B96EE6" w:rsidRPr="001C4A98" w:rsidRDefault="004400F1" w:rsidP="003351D4">
      <w:pPr>
        <w:spacing w:after="120" w:line="240" w:lineRule="auto"/>
        <w:jc w:val="both"/>
        <w:rPr>
          <w:b/>
          <w:bCs/>
          <w:sz w:val="26"/>
          <w:szCs w:val="26"/>
        </w:rPr>
      </w:pPr>
      <w:r w:rsidRPr="001C4A98">
        <w:rPr>
          <w:b/>
          <w:bCs/>
          <w:sz w:val="26"/>
          <w:szCs w:val="26"/>
        </w:rPr>
        <w:t xml:space="preserve">     </w:t>
      </w:r>
      <w:r w:rsidR="003351D4" w:rsidRPr="001C4A98">
        <w:rPr>
          <w:b/>
          <w:bCs/>
          <w:sz w:val="26"/>
          <w:szCs w:val="26"/>
        </w:rPr>
        <w:tab/>
      </w:r>
      <w:r w:rsidR="009C67EB" w:rsidRPr="001C4A98">
        <w:rPr>
          <w:b/>
          <w:bCs/>
          <w:sz w:val="26"/>
          <w:szCs w:val="26"/>
        </w:rPr>
        <w:t xml:space="preserve">5. </w:t>
      </w:r>
      <w:r w:rsidR="00B96EE6" w:rsidRPr="001C4A98">
        <w:rPr>
          <w:b/>
          <w:bCs/>
          <w:sz w:val="26"/>
          <w:szCs w:val="26"/>
        </w:rPr>
        <w:t xml:space="preserve">План за </w:t>
      </w:r>
      <w:r w:rsidR="00B5324C" w:rsidRPr="001C4A98">
        <w:rPr>
          <w:b/>
          <w:bCs/>
          <w:sz w:val="26"/>
          <w:szCs w:val="26"/>
        </w:rPr>
        <w:t>о</w:t>
      </w:r>
      <w:r w:rsidR="00B96EE6" w:rsidRPr="001C4A98">
        <w:rPr>
          <w:b/>
          <w:bCs/>
          <w:sz w:val="26"/>
          <w:szCs w:val="26"/>
        </w:rPr>
        <w:t xml:space="preserve">ценяване </w:t>
      </w:r>
      <w:r w:rsidR="0091433B" w:rsidRPr="001C4A98">
        <w:rPr>
          <w:b/>
          <w:bCs/>
          <w:sz w:val="26"/>
          <w:szCs w:val="26"/>
        </w:rPr>
        <w:t xml:space="preserve">и удостоверяване </w:t>
      </w:r>
      <w:r w:rsidR="00B96EE6" w:rsidRPr="001C4A98">
        <w:rPr>
          <w:b/>
          <w:bCs/>
          <w:sz w:val="26"/>
          <w:szCs w:val="26"/>
        </w:rPr>
        <w:t>на съответствието</w:t>
      </w:r>
    </w:p>
    <w:p w14:paraId="768E61EB" w14:textId="05EA3957" w:rsidR="00B96EE6" w:rsidRPr="001C4A98" w:rsidRDefault="00B96EE6" w:rsidP="000340E6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Планът за оценяване </w:t>
      </w:r>
      <w:r w:rsidR="0091433B" w:rsidRPr="001C4A98">
        <w:rPr>
          <w:bCs/>
          <w:sz w:val="24"/>
          <w:szCs w:val="24"/>
        </w:rPr>
        <w:t xml:space="preserve">и удостоверяване </w:t>
      </w:r>
      <w:r w:rsidRPr="001C4A98">
        <w:rPr>
          <w:bCs/>
          <w:sz w:val="24"/>
          <w:szCs w:val="24"/>
        </w:rPr>
        <w:t xml:space="preserve">на съответствието </w:t>
      </w:r>
      <w:r w:rsidR="007A0A14" w:rsidRPr="001C4A98">
        <w:rPr>
          <w:bCs/>
          <w:sz w:val="24"/>
          <w:szCs w:val="24"/>
        </w:rPr>
        <w:t xml:space="preserve">(по-нататък „Плана“) </w:t>
      </w:r>
      <w:r w:rsidRPr="001C4A98">
        <w:rPr>
          <w:bCs/>
          <w:sz w:val="24"/>
          <w:szCs w:val="24"/>
        </w:rPr>
        <w:t xml:space="preserve">се разработва от </w:t>
      </w:r>
      <w:r w:rsidR="00CF3FA3" w:rsidRPr="001C4A98">
        <w:rPr>
          <w:bCs/>
          <w:sz w:val="24"/>
          <w:szCs w:val="24"/>
        </w:rPr>
        <w:t>ръководителите на екипи</w:t>
      </w:r>
      <w:r w:rsidR="00EC0D98" w:rsidRPr="001C4A98">
        <w:rPr>
          <w:bCs/>
          <w:sz w:val="24"/>
          <w:szCs w:val="24"/>
        </w:rPr>
        <w:t>те</w:t>
      </w:r>
      <w:r w:rsidR="00CF3FA3" w:rsidRPr="001C4A98">
        <w:rPr>
          <w:bCs/>
          <w:sz w:val="24"/>
          <w:szCs w:val="24"/>
        </w:rPr>
        <w:t xml:space="preserve"> по т. </w:t>
      </w:r>
      <w:r w:rsidR="00E46C4C" w:rsidRPr="001C4A98">
        <w:rPr>
          <w:bCs/>
          <w:sz w:val="24"/>
          <w:szCs w:val="24"/>
        </w:rPr>
        <w:t>4.</w:t>
      </w:r>
      <w:r w:rsidR="002B6711">
        <w:rPr>
          <w:bCs/>
          <w:sz w:val="24"/>
          <w:szCs w:val="24"/>
        </w:rPr>
        <w:t xml:space="preserve"> </w:t>
      </w:r>
      <w:r w:rsidR="00E46C4C" w:rsidRPr="001C4A98">
        <w:rPr>
          <w:bCs/>
          <w:sz w:val="24"/>
          <w:szCs w:val="24"/>
        </w:rPr>
        <w:t>2.</w:t>
      </w:r>
      <w:r w:rsidR="00CF3FA3" w:rsidRPr="001C4A98">
        <w:rPr>
          <w:bCs/>
          <w:sz w:val="24"/>
          <w:szCs w:val="24"/>
        </w:rPr>
        <w:t xml:space="preserve"> от настоящата Методика</w:t>
      </w:r>
      <w:r w:rsidR="00DC76A0" w:rsidRPr="001C4A98">
        <w:rPr>
          <w:bCs/>
          <w:sz w:val="24"/>
          <w:szCs w:val="24"/>
        </w:rPr>
        <w:t xml:space="preserve"> в </w:t>
      </w:r>
      <w:r w:rsidR="0091433B" w:rsidRPr="001C4A98">
        <w:rPr>
          <w:bCs/>
          <w:sz w:val="24"/>
          <w:szCs w:val="24"/>
        </w:rPr>
        <w:t>3</w:t>
      </w:r>
      <w:r w:rsidR="00DC76A0" w:rsidRPr="001C4A98">
        <w:rPr>
          <w:bCs/>
          <w:sz w:val="24"/>
          <w:szCs w:val="24"/>
        </w:rPr>
        <w:t>-дневен срок от</w:t>
      </w:r>
      <w:r w:rsidR="000F20EA" w:rsidRPr="001C4A98">
        <w:rPr>
          <w:bCs/>
          <w:sz w:val="24"/>
          <w:szCs w:val="24"/>
        </w:rPr>
        <w:t xml:space="preserve"> издаване на заповедта по т. 4.</w:t>
      </w:r>
      <w:r w:rsidR="002B6711">
        <w:rPr>
          <w:bCs/>
          <w:sz w:val="24"/>
          <w:szCs w:val="24"/>
        </w:rPr>
        <w:t xml:space="preserve"> </w:t>
      </w:r>
      <w:r w:rsidR="000F20EA" w:rsidRPr="001C4A98">
        <w:rPr>
          <w:bCs/>
          <w:sz w:val="24"/>
          <w:szCs w:val="24"/>
        </w:rPr>
        <w:t>2</w:t>
      </w:r>
      <w:r w:rsidR="00E46C4C" w:rsidRPr="001C4A98">
        <w:rPr>
          <w:bCs/>
          <w:sz w:val="24"/>
          <w:szCs w:val="24"/>
        </w:rPr>
        <w:t xml:space="preserve">. </w:t>
      </w:r>
      <w:r w:rsidRPr="001C4A98">
        <w:rPr>
          <w:bCs/>
          <w:sz w:val="24"/>
          <w:szCs w:val="24"/>
        </w:rPr>
        <w:t xml:space="preserve">В </w:t>
      </w:r>
      <w:r w:rsidR="007A0A14" w:rsidRPr="001C4A98">
        <w:rPr>
          <w:bCs/>
          <w:sz w:val="24"/>
          <w:szCs w:val="24"/>
        </w:rPr>
        <w:t>Плана</w:t>
      </w:r>
      <w:r w:rsidR="00EF14AB" w:rsidRPr="001C4A98">
        <w:rPr>
          <w:bCs/>
          <w:sz w:val="24"/>
          <w:szCs w:val="24"/>
        </w:rPr>
        <w:t xml:space="preserve"> </w:t>
      </w:r>
      <w:r w:rsidRPr="001C4A98">
        <w:rPr>
          <w:bCs/>
          <w:sz w:val="24"/>
          <w:szCs w:val="24"/>
        </w:rPr>
        <w:t>се включват задължения</w:t>
      </w:r>
      <w:r w:rsidR="00533D20" w:rsidRPr="001C4A98">
        <w:rPr>
          <w:bCs/>
          <w:sz w:val="24"/>
          <w:szCs w:val="24"/>
        </w:rPr>
        <w:t>та</w:t>
      </w:r>
      <w:r w:rsidRPr="001C4A98">
        <w:rPr>
          <w:bCs/>
          <w:sz w:val="24"/>
          <w:szCs w:val="24"/>
        </w:rPr>
        <w:t xml:space="preserve"> на екипите</w:t>
      </w:r>
      <w:r w:rsidR="009737EC" w:rsidRPr="001C4A98">
        <w:rPr>
          <w:bCs/>
          <w:sz w:val="24"/>
          <w:szCs w:val="24"/>
        </w:rPr>
        <w:t xml:space="preserve"> по т. </w:t>
      </w:r>
      <w:r w:rsidR="00D924AD" w:rsidRPr="001C4A98">
        <w:rPr>
          <w:bCs/>
          <w:sz w:val="24"/>
          <w:szCs w:val="24"/>
        </w:rPr>
        <w:t>4.</w:t>
      </w:r>
      <w:r w:rsidR="002B6711">
        <w:rPr>
          <w:bCs/>
          <w:sz w:val="24"/>
          <w:szCs w:val="24"/>
        </w:rPr>
        <w:t xml:space="preserve"> </w:t>
      </w:r>
      <w:r w:rsidR="00D924AD" w:rsidRPr="001C4A98">
        <w:rPr>
          <w:bCs/>
          <w:sz w:val="24"/>
          <w:szCs w:val="24"/>
        </w:rPr>
        <w:t>2</w:t>
      </w:r>
      <w:r w:rsidR="009737EC" w:rsidRPr="001C4A98">
        <w:rPr>
          <w:bCs/>
          <w:sz w:val="24"/>
          <w:szCs w:val="24"/>
        </w:rPr>
        <w:t>.</w:t>
      </w:r>
      <w:r w:rsidR="00E06E86" w:rsidRPr="001C4A98">
        <w:rPr>
          <w:bCs/>
          <w:sz w:val="24"/>
          <w:szCs w:val="24"/>
        </w:rPr>
        <w:t>, както</w:t>
      </w:r>
      <w:r w:rsidRPr="001C4A98">
        <w:rPr>
          <w:bCs/>
          <w:sz w:val="24"/>
          <w:szCs w:val="24"/>
        </w:rPr>
        <w:t xml:space="preserve"> и сроковете за извършване на </w:t>
      </w:r>
      <w:r w:rsidR="001C3B67" w:rsidRPr="001C4A98">
        <w:rPr>
          <w:bCs/>
          <w:sz w:val="24"/>
          <w:szCs w:val="24"/>
        </w:rPr>
        <w:t>дейностите</w:t>
      </w:r>
      <w:r w:rsidR="009737EC" w:rsidRPr="001C4A98">
        <w:rPr>
          <w:bCs/>
          <w:sz w:val="24"/>
          <w:szCs w:val="24"/>
        </w:rPr>
        <w:t>, описани в приложенията към настоящата Методика</w:t>
      </w:r>
      <w:r w:rsidRPr="001C4A98">
        <w:rPr>
          <w:bCs/>
          <w:sz w:val="24"/>
          <w:szCs w:val="24"/>
        </w:rPr>
        <w:t xml:space="preserve"> и </w:t>
      </w:r>
      <w:r w:rsidR="00533D20" w:rsidRPr="001C4A98">
        <w:rPr>
          <w:bCs/>
          <w:sz w:val="24"/>
          <w:szCs w:val="24"/>
        </w:rPr>
        <w:t xml:space="preserve">за </w:t>
      </w:r>
      <w:r w:rsidR="005E1DA1" w:rsidRPr="001C4A98">
        <w:rPr>
          <w:bCs/>
          <w:sz w:val="24"/>
          <w:szCs w:val="24"/>
        </w:rPr>
        <w:t>изготвянето</w:t>
      </w:r>
      <w:r w:rsidRPr="001C4A98">
        <w:rPr>
          <w:bCs/>
          <w:sz w:val="24"/>
          <w:szCs w:val="24"/>
        </w:rPr>
        <w:t xml:space="preserve"> на </w:t>
      </w:r>
      <w:r w:rsidR="00286B9D" w:rsidRPr="001C4A98">
        <w:rPr>
          <w:bCs/>
          <w:sz w:val="24"/>
          <w:szCs w:val="24"/>
        </w:rPr>
        <w:t xml:space="preserve">Протоколи </w:t>
      </w:r>
      <w:r w:rsidRPr="001C4A98">
        <w:rPr>
          <w:bCs/>
          <w:sz w:val="24"/>
          <w:szCs w:val="24"/>
        </w:rPr>
        <w:t xml:space="preserve">за резултатите от тези </w:t>
      </w:r>
      <w:r w:rsidR="00F60387" w:rsidRPr="001C4A98">
        <w:rPr>
          <w:bCs/>
          <w:sz w:val="24"/>
          <w:szCs w:val="24"/>
        </w:rPr>
        <w:t>дейности</w:t>
      </w:r>
      <w:r w:rsidR="0091433B" w:rsidRPr="001C4A98">
        <w:rPr>
          <w:bCs/>
          <w:sz w:val="24"/>
          <w:szCs w:val="24"/>
        </w:rPr>
        <w:t xml:space="preserve"> и Доклад за оценяване на съответствието</w:t>
      </w:r>
      <w:r w:rsidRPr="001C4A98">
        <w:rPr>
          <w:bCs/>
          <w:sz w:val="24"/>
          <w:szCs w:val="24"/>
        </w:rPr>
        <w:t>.</w:t>
      </w:r>
    </w:p>
    <w:p w14:paraId="4F4F5FBE" w14:textId="6A7F786A" w:rsidR="00B96EE6" w:rsidRPr="001C4A98" w:rsidRDefault="0091433B" w:rsidP="0091433B">
      <w:pPr>
        <w:spacing w:after="120" w:line="240" w:lineRule="auto"/>
        <w:jc w:val="both"/>
        <w:rPr>
          <w:b/>
          <w:bCs/>
          <w:sz w:val="26"/>
          <w:szCs w:val="26"/>
        </w:rPr>
      </w:pPr>
      <w:r w:rsidRPr="001C4A98">
        <w:rPr>
          <w:b/>
          <w:bCs/>
          <w:sz w:val="24"/>
          <w:szCs w:val="24"/>
        </w:rPr>
        <w:t xml:space="preserve">     </w:t>
      </w:r>
      <w:r w:rsidRPr="001C4A98">
        <w:rPr>
          <w:b/>
          <w:bCs/>
          <w:sz w:val="24"/>
          <w:szCs w:val="24"/>
        </w:rPr>
        <w:tab/>
      </w:r>
      <w:r w:rsidRPr="001C4A98">
        <w:rPr>
          <w:b/>
          <w:bCs/>
          <w:sz w:val="26"/>
          <w:szCs w:val="26"/>
        </w:rPr>
        <w:t>6</w:t>
      </w:r>
      <w:r w:rsidR="00D924AD" w:rsidRPr="001C4A98">
        <w:rPr>
          <w:b/>
          <w:bCs/>
          <w:sz w:val="26"/>
          <w:szCs w:val="26"/>
        </w:rPr>
        <w:t>.</w:t>
      </w:r>
      <w:r w:rsidR="005F5616" w:rsidRPr="001C4A98">
        <w:rPr>
          <w:b/>
          <w:bCs/>
          <w:sz w:val="26"/>
          <w:szCs w:val="26"/>
        </w:rPr>
        <w:t xml:space="preserve"> </w:t>
      </w:r>
      <w:r w:rsidR="004F068E" w:rsidRPr="001C4A98">
        <w:rPr>
          <w:b/>
          <w:bCs/>
          <w:sz w:val="26"/>
          <w:szCs w:val="26"/>
        </w:rPr>
        <w:t xml:space="preserve">Методи и процедури </w:t>
      </w:r>
      <w:r w:rsidR="00B96EE6" w:rsidRPr="001C4A98">
        <w:rPr>
          <w:b/>
          <w:bCs/>
          <w:sz w:val="26"/>
          <w:szCs w:val="26"/>
        </w:rPr>
        <w:t>за оценяване на съответствието</w:t>
      </w:r>
    </w:p>
    <w:p w14:paraId="72788047" w14:textId="689C6C7C" w:rsidR="00F41D7B" w:rsidRPr="001C4A98" w:rsidRDefault="00F41D7B" w:rsidP="00F41D7B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Наборът от методи и процедури за оценяване на съответствието, предвидени в приложенията към настоящата </w:t>
      </w:r>
      <w:r w:rsidR="00EF14AB" w:rsidRPr="001C4A98">
        <w:rPr>
          <w:bCs/>
          <w:sz w:val="24"/>
          <w:szCs w:val="24"/>
        </w:rPr>
        <w:t xml:space="preserve">Методика </w:t>
      </w:r>
      <w:r w:rsidRPr="001C4A98">
        <w:rPr>
          <w:bCs/>
          <w:sz w:val="24"/>
          <w:szCs w:val="24"/>
        </w:rPr>
        <w:t>, включва</w:t>
      </w:r>
      <w:r w:rsidR="00B11931" w:rsidRPr="001C4A98">
        <w:rPr>
          <w:bCs/>
          <w:sz w:val="24"/>
          <w:szCs w:val="24"/>
        </w:rPr>
        <w:t>, но не се ограничава до</w:t>
      </w:r>
      <w:r w:rsidRPr="001C4A98">
        <w:rPr>
          <w:bCs/>
          <w:sz w:val="24"/>
          <w:szCs w:val="24"/>
        </w:rPr>
        <w:t xml:space="preserve">: </w:t>
      </w:r>
    </w:p>
    <w:p w14:paraId="13DE17DC" w14:textId="217F45AE" w:rsidR="00F41D7B" w:rsidRPr="001C4A98" w:rsidRDefault="0053322F" w:rsidP="0053322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 xml:space="preserve">Проверка на валидността и автентичността на документи за оценяване на съответствието на доставения тип </w:t>
      </w:r>
      <w:r w:rsidR="00F50FF9" w:rsidRPr="001C4A98">
        <w:rPr>
          <w:sz w:val="24"/>
          <w:szCs w:val="24"/>
        </w:rPr>
        <w:t>Т</w:t>
      </w:r>
      <w:r w:rsidRPr="001C4A98">
        <w:rPr>
          <w:sz w:val="24"/>
          <w:szCs w:val="24"/>
        </w:rPr>
        <w:t>УМГ</w:t>
      </w:r>
      <w:r w:rsidR="008F0580">
        <w:rPr>
          <w:sz w:val="24"/>
          <w:szCs w:val="24"/>
        </w:rPr>
        <w:t>,</w:t>
      </w:r>
      <w:r w:rsidRPr="001C4A98">
        <w:rPr>
          <w:sz w:val="24"/>
          <w:szCs w:val="24"/>
        </w:rPr>
        <w:t xml:space="preserve"> негова съставна част, </w:t>
      </w:r>
      <w:r w:rsidR="008F0580">
        <w:rPr>
          <w:bCs/>
          <w:sz w:val="24"/>
          <w:szCs w:val="24"/>
        </w:rPr>
        <w:t>периферно устройство или консумативи,</w:t>
      </w:r>
      <w:r w:rsidR="008F0580" w:rsidRPr="001C4A98">
        <w:rPr>
          <w:bCs/>
          <w:sz w:val="24"/>
          <w:szCs w:val="24"/>
        </w:rPr>
        <w:t xml:space="preserve"> </w:t>
      </w:r>
      <w:r w:rsidRPr="001C4A98">
        <w:rPr>
          <w:sz w:val="24"/>
          <w:szCs w:val="24"/>
        </w:rPr>
        <w:t>изда</w:t>
      </w:r>
      <w:r w:rsidR="00F50FF9" w:rsidRPr="001C4A98">
        <w:rPr>
          <w:sz w:val="24"/>
          <w:szCs w:val="24"/>
        </w:rPr>
        <w:t>дени от трета независима страна</w:t>
      </w:r>
      <w:r w:rsidR="00B25AE9" w:rsidRPr="001C4A98">
        <w:rPr>
          <w:sz w:val="24"/>
          <w:szCs w:val="24"/>
        </w:rPr>
        <w:t>;</w:t>
      </w:r>
    </w:p>
    <w:p w14:paraId="4A461455" w14:textId="09F298DA" w:rsidR="00F41D7B" w:rsidRPr="001C4A98" w:rsidRDefault="00F41D7B" w:rsidP="0043377E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Проверка на изискванията към хардуерната конфигурация на доставения тип ТУМГ</w:t>
      </w:r>
      <w:r w:rsidR="00B25AE9" w:rsidRPr="001C4A98">
        <w:rPr>
          <w:sz w:val="24"/>
          <w:szCs w:val="24"/>
        </w:rPr>
        <w:t>;</w:t>
      </w:r>
      <w:r w:rsidRPr="001C4A98">
        <w:rPr>
          <w:sz w:val="24"/>
          <w:szCs w:val="24"/>
        </w:rPr>
        <w:t xml:space="preserve"> </w:t>
      </w:r>
    </w:p>
    <w:p w14:paraId="7D86F0AB" w14:textId="7E3AD3FF" w:rsidR="00F41D7B" w:rsidRPr="0004662F" w:rsidRDefault="0004662F" w:rsidP="001C03FE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04662F">
        <w:rPr>
          <w:sz w:val="24"/>
          <w:szCs w:val="24"/>
        </w:rPr>
        <w:t>Процедура за проверка и оценка на функционалността на ТУМГ за съответствие с техническите и функционалните изисквания на ИК</w:t>
      </w:r>
      <w:r w:rsidR="00B95EE1" w:rsidRPr="0004662F">
        <w:rPr>
          <w:sz w:val="24"/>
          <w:szCs w:val="24"/>
        </w:rPr>
        <w:t>;</w:t>
      </w:r>
    </w:p>
    <w:p w14:paraId="3CCBD0A0" w14:textId="625E88D8" w:rsidR="00F41D7B" w:rsidRPr="001C4A98" w:rsidRDefault="00F41D7B" w:rsidP="00AF16E0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 xml:space="preserve">Проверка на сигурността на </w:t>
      </w:r>
      <w:r w:rsidR="00DA7F4C" w:rsidRPr="001C4A98">
        <w:rPr>
          <w:sz w:val="24"/>
          <w:szCs w:val="24"/>
        </w:rPr>
        <w:t xml:space="preserve">информацията, </w:t>
      </w:r>
      <w:r w:rsidR="00AF16E0" w:rsidRPr="001C4A98">
        <w:rPr>
          <w:sz w:val="24"/>
          <w:szCs w:val="24"/>
        </w:rPr>
        <w:t>която се въвежда, обработва, съхранява и извежда от доставения тип ТУМГ</w:t>
      </w:r>
      <w:r w:rsidR="00B25AE9" w:rsidRPr="001C4A98">
        <w:rPr>
          <w:sz w:val="24"/>
          <w:szCs w:val="24"/>
        </w:rPr>
        <w:t>.</w:t>
      </w:r>
    </w:p>
    <w:p w14:paraId="4D897291" w14:textId="4E151EA4" w:rsidR="003A22D0" w:rsidRPr="001C4A98" w:rsidRDefault="004A1D02" w:rsidP="004A1D02">
      <w:pPr>
        <w:spacing w:after="120" w:line="240" w:lineRule="auto"/>
        <w:jc w:val="both"/>
        <w:rPr>
          <w:bCs/>
          <w:color w:val="FF0000"/>
          <w:sz w:val="24"/>
          <w:szCs w:val="24"/>
        </w:rPr>
      </w:pPr>
      <w:r w:rsidRPr="001C4A98">
        <w:rPr>
          <w:bCs/>
          <w:sz w:val="24"/>
          <w:szCs w:val="24"/>
        </w:rPr>
        <w:t xml:space="preserve">Обхватът на </w:t>
      </w:r>
      <w:r w:rsidR="00F60387" w:rsidRPr="001C4A98">
        <w:rPr>
          <w:bCs/>
          <w:sz w:val="24"/>
          <w:szCs w:val="24"/>
        </w:rPr>
        <w:t>проверките</w:t>
      </w:r>
      <w:r w:rsidR="00B74766" w:rsidRPr="001C4A98">
        <w:rPr>
          <w:bCs/>
          <w:sz w:val="24"/>
          <w:szCs w:val="24"/>
        </w:rPr>
        <w:t>, както и крайният резултат са</w:t>
      </w:r>
      <w:r w:rsidRPr="001C4A98">
        <w:rPr>
          <w:bCs/>
          <w:sz w:val="24"/>
          <w:szCs w:val="24"/>
        </w:rPr>
        <w:t xml:space="preserve"> в пряка зависимост от количеството и качеството на документите, предоставени от ЦИК</w:t>
      </w:r>
      <w:r w:rsidR="008F0580">
        <w:rPr>
          <w:bCs/>
          <w:sz w:val="24"/>
          <w:szCs w:val="24"/>
        </w:rPr>
        <w:t>, както и от времевия отрязък, който е наличен за целите на удостоверяване на съответствието</w:t>
      </w:r>
      <w:r w:rsidR="005F5616" w:rsidRPr="001C4A98">
        <w:rPr>
          <w:bCs/>
          <w:sz w:val="24"/>
          <w:szCs w:val="24"/>
        </w:rPr>
        <w:t xml:space="preserve">. </w:t>
      </w:r>
      <w:r w:rsidRPr="001C4A98">
        <w:rPr>
          <w:bCs/>
          <w:sz w:val="24"/>
          <w:szCs w:val="24"/>
        </w:rPr>
        <w:t xml:space="preserve"> </w:t>
      </w:r>
    </w:p>
    <w:p w14:paraId="2CFD11FF" w14:textId="58E59E11" w:rsidR="00861E64" w:rsidRPr="001C4A98" w:rsidRDefault="001D784F" w:rsidP="001D01EE">
      <w:pPr>
        <w:spacing w:after="120" w:line="240" w:lineRule="auto"/>
        <w:ind w:left="708"/>
        <w:jc w:val="both"/>
        <w:rPr>
          <w:b/>
          <w:sz w:val="24"/>
          <w:szCs w:val="24"/>
        </w:rPr>
      </w:pPr>
      <w:r w:rsidRPr="001C4A98">
        <w:rPr>
          <w:b/>
          <w:sz w:val="24"/>
          <w:szCs w:val="24"/>
        </w:rPr>
        <w:t>6</w:t>
      </w:r>
      <w:r w:rsidR="00B96EE6" w:rsidRPr="001C4A98">
        <w:rPr>
          <w:b/>
          <w:sz w:val="24"/>
          <w:szCs w:val="24"/>
        </w:rPr>
        <w:t>.1</w:t>
      </w:r>
      <w:r w:rsidR="00861E64" w:rsidRPr="001C4A98">
        <w:rPr>
          <w:b/>
          <w:sz w:val="24"/>
          <w:szCs w:val="24"/>
        </w:rPr>
        <w:t xml:space="preserve"> Проверка на валидността и автентичността на документи за оценяване на съответствието на </w:t>
      </w:r>
      <w:r w:rsidR="00D6251F" w:rsidRPr="001C4A98">
        <w:rPr>
          <w:b/>
          <w:sz w:val="24"/>
          <w:szCs w:val="24"/>
        </w:rPr>
        <w:t xml:space="preserve">доставения тип  </w:t>
      </w:r>
      <w:r w:rsidR="00861E64" w:rsidRPr="001C4A98">
        <w:rPr>
          <w:b/>
          <w:sz w:val="24"/>
          <w:szCs w:val="24"/>
        </w:rPr>
        <w:t>ТУМГ или негова съставна част, издадени от трета независима страна.</w:t>
      </w:r>
    </w:p>
    <w:p w14:paraId="03A83E01" w14:textId="749AEF2D" w:rsidR="00861E64" w:rsidRPr="001C4A98" w:rsidRDefault="00861E64" w:rsidP="006C0AF4">
      <w:p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Предвид специфичните характеристики и функционалност на техническите устройства за електронна обработка на данни</w:t>
      </w:r>
      <w:r w:rsidR="004D7279">
        <w:rPr>
          <w:sz w:val="24"/>
          <w:szCs w:val="24"/>
        </w:rPr>
        <w:t>,</w:t>
      </w:r>
      <w:r w:rsidRPr="001C4A98">
        <w:rPr>
          <w:sz w:val="24"/>
          <w:szCs w:val="24"/>
        </w:rPr>
        <w:t xml:space="preserve"> в световен мащаб се е наложила практиката производителят и </w:t>
      </w:r>
      <w:r w:rsidR="007E322E" w:rsidRPr="001C4A98">
        <w:rPr>
          <w:sz w:val="24"/>
          <w:szCs w:val="24"/>
        </w:rPr>
        <w:t>Изпълнител</w:t>
      </w:r>
      <w:r w:rsidRPr="001C4A98">
        <w:rPr>
          <w:sz w:val="24"/>
          <w:szCs w:val="24"/>
        </w:rPr>
        <w:t>ят по договора за доставка и инсталиране да подлагат своите продукти и/или техни съставни части на оцен</w:t>
      </w:r>
      <w:r w:rsidR="00A17233" w:rsidRPr="001C4A98">
        <w:rPr>
          <w:sz w:val="24"/>
          <w:szCs w:val="24"/>
        </w:rPr>
        <w:t>яване</w:t>
      </w:r>
      <w:r w:rsidRPr="001C4A98">
        <w:rPr>
          <w:sz w:val="24"/>
          <w:szCs w:val="24"/>
        </w:rPr>
        <w:t xml:space="preserve"> на съответствието от трета </w:t>
      </w:r>
      <w:r w:rsidRPr="001C4A98">
        <w:rPr>
          <w:sz w:val="24"/>
          <w:szCs w:val="24"/>
        </w:rPr>
        <w:lastRenderedPageBreak/>
        <w:t>независима страна. Резултатът от т</w:t>
      </w:r>
      <w:r w:rsidR="00A17233" w:rsidRPr="001C4A98">
        <w:rPr>
          <w:sz w:val="24"/>
          <w:szCs w:val="24"/>
        </w:rPr>
        <w:t>ова</w:t>
      </w:r>
      <w:r w:rsidRPr="001C4A98">
        <w:rPr>
          <w:sz w:val="24"/>
          <w:szCs w:val="24"/>
        </w:rPr>
        <w:t xml:space="preserve"> оцен</w:t>
      </w:r>
      <w:r w:rsidR="00A17233" w:rsidRPr="001C4A98">
        <w:rPr>
          <w:sz w:val="24"/>
          <w:szCs w:val="24"/>
        </w:rPr>
        <w:t>яване</w:t>
      </w:r>
      <w:r w:rsidRPr="001C4A98">
        <w:rPr>
          <w:sz w:val="24"/>
          <w:szCs w:val="24"/>
        </w:rPr>
        <w:t xml:space="preserve"> се изразява в издаване на официални документи - сертификати (</w:t>
      </w:r>
      <w:proofErr w:type="spellStart"/>
      <w:r w:rsidRPr="001C4A98">
        <w:rPr>
          <w:sz w:val="24"/>
          <w:szCs w:val="24"/>
        </w:rPr>
        <w:t>certificates</w:t>
      </w:r>
      <w:proofErr w:type="spellEnd"/>
      <w:r w:rsidRPr="001C4A98">
        <w:rPr>
          <w:sz w:val="24"/>
          <w:szCs w:val="24"/>
        </w:rPr>
        <w:t>), доклади (</w:t>
      </w:r>
      <w:proofErr w:type="spellStart"/>
      <w:r w:rsidRPr="001C4A98">
        <w:rPr>
          <w:sz w:val="24"/>
          <w:szCs w:val="24"/>
        </w:rPr>
        <w:t>technical</w:t>
      </w:r>
      <w:proofErr w:type="spellEnd"/>
      <w:r w:rsidRPr="001C4A98">
        <w:rPr>
          <w:sz w:val="24"/>
          <w:szCs w:val="24"/>
        </w:rPr>
        <w:t xml:space="preserve"> </w:t>
      </w:r>
      <w:proofErr w:type="spellStart"/>
      <w:r w:rsidRPr="001C4A98">
        <w:rPr>
          <w:sz w:val="24"/>
          <w:szCs w:val="24"/>
        </w:rPr>
        <w:t>reports</w:t>
      </w:r>
      <w:proofErr w:type="spellEnd"/>
      <w:r w:rsidRPr="001C4A98">
        <w:rPr>
          <w:sz w:val="24"/>
          <w:szCs w:val="24"/>
        </w:rPr>
        <w:t>) или протоколи, в зависимост от критериите</w:t>
      </w:r>
      <w:r w:rsidR="003A22D0" w:rsidRPr="001C4A98">
        <w:rPr>
          <w:sz w:val="24"/>
          <w:szCs w:val="24"/>
        </w:rPr>
        <w:t xml:space="preserve"> и </w:t>
      </w:r>
      <w:r w:rsidRPr="001C4A98">
        <w:rPr>
          <w:sz w:val="24"/>
          <w:szCs w:val="24"/>
        </w:rPr>
        <w:t xml:space="preserve">документите, спрямо които </w:t>
      </w:r>
      <w:r w:rsidR="002B6923" w:rsidRPr="001C4A98">
        <w:rPr>
          <w:sz w:val="24"/>
          <w:szCs w:val="24"/>
        </w:rPr>
        <w:t xml:space="preserve">е било </w:t>
      </w:r>
      <w:r w:rsidRPr="001C4A98">
        <w:rPr>
          <w:sz w:val="24"/>
          <w:szCs w:val="24"/>
        </w:rPr>
        <w:t>оцен</w:t>
      </w:r>
      <w:r w:rsidR="002B6923" w:rsidRPr="001C4A98">
        <w:rPr>
          <w:sz w:val="24"/>
          <w:szCs w:val="24"/>
        </w:rPr>
        <w:t>ено</w:t>
      </w:r>
      <w:r w:rsidRPr="001C4A98">
        <w:rPr>
          <w:sz w:val="24"/>
          <w:szCs w:val="24"/>
        </w:rPr>
        <w:t xml:space="preserve"> съответствието. </w:t>
      </w:r>
    </w:p>
    <w:p w14:paraId="7B4E1315" w14:textId="77777777" w:rsidR="00FD70F7" w:rsidRPr="001C4A98" w:rsidRDefault="00861E64" w:rsidP="006C0AF4">
      <w:p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Компетентните органи за сертифициране на продукти са акредитирани, т.е. приведени са в съответствие с EN ISO/IEC 17065 „Оценка на съответствието - Изисквания към органите за сертификация на продукти, процеси и услуги“ - международен стандарт за доказване на компетентност</w:t>
      </w:r>
      <w:r w:rsidR="001C3B67" w:rsidRPr="001C4A98">
        <w:rPr>
          <w:sz w:val="24"/>
          <w:szCs w:val="24"/>
        </w:rPr>
        <w:t>та</w:t>
      </w:r>
      <w:r w:rsidRPr="001C4A98">
        <w:rPr>
          <w:sz w:val="24"/>
          <w:szCs w:val="24"/>
        </w:rPr>
        <w:t xml:space="preserve"> на органи за оцен</w:t>
      </w:r>
      <w:r w:rsidR="00A17233" w:rsidRPr="001C4A98">
        <w:rPr>
          <w:sz w:val="24"/>
          <w:szCs w:val="24"/>
        </w:rPr>
        <w:t>яване</w:t>
      </w:r>
      <w:r w:rsidRPr="001C4A98">
        <w:rPr>
          <w:sz w:val="24"/>
          <w:szCs w:val="24"/>
        </w:rPr>
        <w:t xml:space="preserve"> на съответствието (ООС), които извършват сертифициране на продукти, процеси и услуги. </w:t>
      </w:r>
    </w:p>
    <w:p w14:paraId="685F6216" w14:textId="04EF47AC" w:rsidR="00861E64" w:rsidRPr="001C4A98" w:rsidRDefault="001C3B67" w:rsidP="006C0AF4">
      <w:p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О</w:t>
      </w:r>
      <w:r w:rsidR="00861E64" w:rsidRPr="001C4A98">
        <w:rPr>
          <w:sz w:val="24"/>
          <w:szCs w:val="24"/>
        </w:rPr>
        <w:t>цен</w:t>
      </w:r>
      <w:r w:rsidR="00A17233" w:rsidRPr="001C4A98">
        <w:rPr>
          <w:sz w:val="24"/>
          <w:szCs w:val="24"/>
        </w:rPr>
        <w:t>яването</w:t>
      </w:r>
      <w:r w:rsidR="00861E64" w:rsidRPr="001C4A98">
        <w:rPr>
          <w:sz w:val="24"/>
          <w:szCs w:val="24"/>
        </w:rPr>
        <w:t xml:space="preserve"> и акредитация</w:t>
      </w:r>
      <w:r w:rsidRPr="001C4A98">
        <w:rPr>
          <w:sz w:val="24"/>
          <w:szCs w:val="24"/>
        </w:rPr>
        <w:t>та</w:t>
      </w:r>
      <w:r w:rsidR="00F26A9E">
        <w:rPr>
          <w:sz w:val="24"/>
          <w:szCs w:val="24"/>
        </w:rPr>
        <w:t xml:space="preserve"> на ООС</w:t>
      </w:r>
      <w:r w:rsidR="00861E64" w:rsidRPr="001C4A98">
        <w:rPr>
          <w:sz w:val="24"/>
          <w:szCs w:val="24"/>
        </w:rPr>
        <w:t xml:space="preserve"> се </w:t>
      </w:r>
      <w:r w:rsidRPr="001C4A98">
        <w:rPr>
          <w:sz w:val="24"/>
          <w:szCs w:val="24"/>
        </w:rPr>
        <w:t>извършва от националните органи за акредитация</w:t>
      </w:r>
      <w:r w:rsidR="00FD70F7" w:rsidRPr="001C4A98">
        <w:rPr>
          <w:sz w:val="24"/>
          <w:szCs w:val="24"/>
        </w:rPr>
        <w:t>, които са общопризнати на базата на многостранни споразумения</w:t>
      </w:r>
      <w:r w:rsidR="00861E64" w:rsidRPr="001C4A98">
        <w:rPr>
          <w:sz w:val="24"/>
          <w:szCs w:val="24"/>
        </w:rPr>
        <w:t>. На свой ред</w:t>
      </w:r>
      <w:r w:rsidR="00673228" w:rsidRPr="001C4A98">
        <w:rPr>
          <w:sz w:val="24"/>
          <w:szCs w:val="24"/>
        </w:rPr>
        <w:t>,</w:t>
      </w:r>
      <w:r w:rsidR="00861E64" w:rsidRPr="001C4A98">
        <w:rPr>
          <w:sz w:val="24"/>
          <w:szCs w:val="24"/>
        </w:rPr>
        <w:t xml:space="preserve"> самите </w:t>
      </w:r>
      <w:r w:rsidR="00FD70F7" w:rsidRPr="001C4A98">
        <w:rPr>
          <w:sz w:val="24"/>
          <w:szCs w:val="24"/>
        </w:rPr>
        <w:t xml:space="preserve">национални </w:t>
      </w:r>
      <w:r w:rsidR="00861E64" w:rsidRPr="001C4A98">
        <w:rPr>
          <w:sz w:val="24"/>
          <w:szCs w:val="24"/>
        </w:rPr>
        <w:t>органи за акредитация се оценяват и признават от международни</w:t>
      </w:r>
      <w:r w:rsidRPr="001C4A98">
        <w:rPr>
          <w:sz w:val="24"/>
          <w:szCs w:val="24"/>
        </w:rPr>
        <w:t>те</w:t>
      </w:r>
      <w:r w:rsidR="00861E64" w:rsidRPr="001C4A98">
        <w:rPr>
          <w:sz w:val="24"/>
          <w:szCs w:val="24"/>
        </w:rPr>
        <w:t xml:space="preserve"> партньори по стандарта EN ISO</w:t>
      </w:r>
      <w:r w:rsidRPr="001C4A98">
        <w:rPr>
          <w:sz w:val="24"/>
          <w:szCs w:val="24"/>
        </w:rPr>
        <w:t>/IEC</w:t>
      </w:r>
      <w:r w:rsidR="00861E64" w:rsidRPr="001C4A98">
        <w:rPr>
          <w:sz w:val="24"/>
          <w:szCs w:val="24"/>
        </w:rPr>
        <w:t xml:space="preserve"> 17011. Европейската организация EA е </w:t>
      </w:r>
      <w:r w:rsidR="00FD70F7" w:rsidRPr="001C4A98">
        <w:rPr>
          <w:sz w:val="24"/>
          <w:szCs w:val="24"/>
        </w:rPr>
        <w:t>институцията</w:t>
      </w:r>
      <w:r w:rsidRPr="001C4A98">
        <w:rPr>
          <w:sz w:val="24"/>
          <w:szCs w:val="24"/>
        </w:rPr>
        <w:t xml:space="preserve">, </w:t>
      </w:r>
      <w:r w:rsidR="00861E64" w:rsidRPr="001C4A98">
        <w:rPr>
          <w:sz w:val="24"/>
          <w:szCs w:val="24"/>
        </w:rPr>
        <w:t xml:space="preserve">официално </w:t>
      </w:r>
      <w:r w:rsidR="00B679F9" w:rsidRPr="001C4A98">
        <w:rPr>
          <w:sz w:val="24"/>
          <w:szCs w:val="24"/>
        </w:rPr>
        <w:t>определена</w:t>
      </w:r>
      <w:r w:rsidR="00861E64" w:rsidRPr="001C4A98">
        <w:rPr>
          <w:sz w:val="24"/>
          <w:szCs w:val="24"/>
        </w:rPr>
        <w:t xml:space="preserve"> от Европейската комисия в Регламент (ЕО) № 765/2008 </w:t>
      </w:r>
      <w:r w:rsidR="00FD70F7" w:rsidRPr="001C4A98">
        <w:rPr>
          <w:sz w:val="24"/>
          <w:szCs w:val="24"/>
        </w:rPr>
        <w:t xml:space="preserve">в областта на </w:t>
      </w:r>
      <w:r w:rsidR="00861E64" w:rsidRPr="001C4A98">
        <w:rPr>
          <w:sz w:val="24"/>
          <w:szCs w:val="24"/>
        </w:rPr>
        <w:t>разработване</w:t>
      </w:r>
      <w:r w:rsidR="00FD70F7" w:rsidRPr="001C4A98">
        <w:rPr>
          <w:sz w:val="24"/>
          <w:szCs w:val="24"/>
        </w:rPr>
        <w:t>то</w:t>
      </w:r>
      <w:r w:rsidR="00861E64" w:rsidRPr="001C4A98">
        <w:rPr>
          <w:sz w:val="24"/>
          <w:szCs w:val="24"/>
        </w:rPr>
        <w:t xml:space="preserve"> и поддържане</w:t>
      </w:r>
      <w:r w:rsidR="00FD70F7" w:rsidRPr="001C4A98">
        <w:rPr>
          <w:sz w:val="24"/>
          <w:szCs w:val="24"/>
        </w:rPr>
        <w:t>то</w:t>
      </w:r>
      <w:r w:rsidR="00861E64" w:rsidRPr="001C4A98">
        <w:rPr>
          <w:sz w:val="24"/>
          <w:szCs w:val="24"/>
        </w:rPr>
        <w:t xml:space="preserve"> на многостранното споразумение за взаимно признаване (EA MLA), основано на хармонизирана</w:t>
      </w:r>
      <w:r w:rsidR="003A22D0" w:rsidRPr="001C4A98">
        <w:rPr>
          <w:sz w:val="24"/>
          <w:szCs w:val="24"/>
        </w:rPr>
        <w:t>та</w:t>
      </w:r>
      <w:r w:rsidR="00861E64" w:rsidRPr="001C4A98">
        <w:rPr>
          <w:sz w:val="24"/>
          <w:szCs w:val="24"/>
        </w:rPr>
        <w:t xml:space="preserve"> инфраструктура за акредитация</w:t>
      </w:r>
      <w:r w:rsidR="00FD70F7" w:rsidRPr="001C4A98">
        <w:rPr>
          <w:sz w:val="24"/>
          <w:szCs w:val="24"/>
        </w:rPr>
        <w:t xml:space="preserve"> в рамките на Европейския съюз</w:t>
      </w:r>
      <w:r w:rsidR="00861E64" w:rsidRPr="001C4A98">
        <w:rPr>
          <w:sz w:val="24"/>
          <w:szCs w:val="24"/>
        </w:rPr>
        <w:t>.</w:t>
      </w:r>
    </w:p>
    <w:p w14:paraId="2E42C8E6" w14:textId="36BD42BF" w:rsidR="003A22D0" w:rsidRPr="001C4A98" w:rsidRDefault="00FD70F7" w:rsidP="006C0AF4">
      <w:p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 xml:space="preserve">Органите за оценка на съответствие, които са акредитирани в конкретната област на компетентност, </w:t>
      </w:r>
      <w:r w:rsidR="00861E64" w:rsidRPr="001C4A98">
        <w:rPr>
          <w:sz w:val="24"/>
          <w:szCs w:val="24"/>
        </w:rPr>
        <w:t>изпълняват функциите на трета</w:t>
      </w:r>
      <w:r w:rsidRPr="001C4A98">
        <w:rPr>
          <w:sz w:val="24"/>
          <w:szCs w:val="24"/>
        </w:rPr>
        <w:t>,</w:t>
      </w:r>
      <w:r w:rsidR="00861E64" w:rsidRPr="001C4A98">
        <w:rPr>
          <w:sz w:val="24"/>
          <w:szCs w:val="24"/>
        </w:rPr>
        <w:t xml:space="preserve"> независима страна за сертифициране на продукти, процеси и услуги спрямо съответните стандарти за сигурност на информацията, безопасност, електромагнитни смущения, </w:t>
      </w:r>
      <w:proofErr w:type="spellStart"/>
      <w:r w:rsidR="00861E64" w:rsidRPr="001C4A98">
        <w:rPr>
          <w:sz w:val="24"/>
          <w:szCs w:val="24"/>
        </w:rPr>
        <w:t>влагоустойчивост</w:t>
      </w:r>
      <w:proofErr w:type="spellEnd"/>
      <w:r w:rsidR="00861E64" w:rsidRPr="001C4A98">
        <w:rPr>
          <w:sz w:val="24"/>
          <w:szCs w:val="24"/>
        </w:rPr>
        <w:t xml:space="preserve">, температурни параметри и т.н. </w:t>
      </w:r>
    </w:p>
    <w:p w14:paraId="5321F067" w14:textId="2E4FB2B5" w:rsidR="00861E64" w:rsidRPr="001C4A98" w:rsidRDefault="00861E64" w:rsidP="006C0AF4">
      <w:p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В международ</w:t>
      </w:r>
      <w:r w:rsidR="004D0709" w:rsidRPr="001C4A98">
        <w:rPr>
          <w:sz w:val="24"/>
          <w:szCs w:val="24"/>
        </w:rPr>
        <w:t>ен мащаб на принципа на взаимното признаване</w:t>
      </w:r>
      <w:r w:rsidRPr="001C4A98">
        <w:rPr>
          <w:sz w:val="24"/>
          <w:szCs w:val="24"/>
        </w:rPr>
        <w:t xml:space="preserve"> се прилага и </w:t>
      </w:r>
      <w:r w:rsidR="00F429BD" w:rsidRPr="001C4A98">
        <w:rPr>
          <w:sz w:val="24"/>
          <w:szCs w:val="24"/>
        </w:rPr>
        <w:t xml:space="preserve">подхода на </w:t>
      </w:r>
      <w:r w:rsidRPr="001C4A98">
        <w:rPr>
          <w:sz w:val="24"/>
          <w:szCs w:val="24"/>
        </w:rPr>
        <w:t xml:space="preserve">сертифициране по </w:t>
      </w:r>
      <w:r w:rsidR="00FD70F7" w:rsidRPr="001C4A98">
        <w:rPr>
          <w:sz w:val="24"/>
          <w:szCs w:val="24"/>
        </w:rPr>
        <w:t xml:space="preserve">общопризнати </w:t>
      </w:r>
      <w:r w:rsidRPr="001C4A98">
        <w:rPr>
          <w:sz w:val="24"/>
          <w:szCs w:val="24"/>
        </w:rPr>
        <w:t>схеми</w:t>
      </w:r>
      <w:r w:rsidR="00FD70F7" w:rsidRPr="001C4A98">
        <w:rPr>
          <w:sz w:val="24"/>
          <w:szCs w:val="24"/>
        </w:rPr>
        <w:t xml:space="preserve"> за сертификация</w:t>
      </w:r>
      <w:r w:rsidR="001C3B67" w:rsidRPr="001C4A98">
        <w:rPr>
          <w:sz w:val="24"/>
          <w:szCs w:val="24"/>
        </w:rPr>
        <w:t>.</w:t>
      </w:r>
      <w:r w:rsidRPr="001C4A98">
        <w:rPr>
          <w:sz w:val="24"/>
          <w:szCs w:val="24"/>
        </w:rPr>
        <w:t xml:space="preserve"> Така например</w:t>
      </w:r>
      <w:r w:rsidR="00244B7E" w:rsidRPr="001C4A98">
        <w:rPr>
          <w:sz w:val="24"/>
          <w:szCs w:val="24"/>
        </w:rPr>
        <w:t>,</w:t>
      </w:r>
      <w:r w:rsidRPr="001C4A98">
        <w:rPr>
          <w:sz w:val="24"/>
          <w:szCs w:val="24"/>
        </w:rPr>
        <w:t xml:space="preserve"> за електротехнически съоръжения и </w:t>
      </w:r>
      <w:r w:rsidR="003A22D0" w:rsidRPr="001C4A98">
        <w:rPr>
          <w:sz w:val="24"/>
          <w:szCs w:val="24"/>
        </w:rPr>
        <w:t xml:space="preserve">техни </w:t>
      </w:r>
      <w:r w:rsidRPr="001C4A98">
        <w:rPr>
          <w:sz w:val="24"/>
          <w:szCs w:val="24"/>
        </w:rPr>
        <w:t>съставни части, които попадат в обхвата на стандарти</w:t>
      </w:r>
      <w:r w:rsidR="004D0709" w:rsidRPr="001C4A98">
        <w:rPr>
          <w:sz w:val="24"/>
          <w:szCs w:val="24"/>
        </w:rPr>
        <w:t>те</w:t>
      </w:r>
      <w:r w:rsidRPr="001C4A98">
        <w:rPr>
          <w:sz w:val="24"/>
          <w:szCs w:val="24"/>
        </w:rPr>
        <w:t xml:space="preserve"> на IEC</w:t>
      </w:r>
      <w:r w:rsidR="004974A5" w:rsidRPr="001C4A98">
        <w:rPr>
          <w:sz w:val="24"/>
          <w:szCs w:val="24"/>
        </w:rPr>
        <w:t xml:space="preserve"> (</w:t>
      </w:r>
      <w:r w:rsidR="004974A5" w:rsidRPr="001C4A98">
        <w:rPr>
          <w:rStyle w:val="Emphasis"/>
        </w:rPr>
        <w:t xml:space="preserve">International </w:t>
      </w:r>
      <w:proofErr w:type="spellStart"/>
      <w:r w:rsidR="004974A5" w:rsidRPr="001C4A98">
        <w:rPr>
          <w:rStyle w:val="Emphasis"/>
        </w:rPr>
        <w:t>Electrotechnical</w:t>
      </w:r>
      <w:proofErr w:type="spellEnd"/>
      <w:r w:rsidR="004974A5" w:rsidRPr="001C4A98">
        <w:rPr>
          <w:rStyle w:val="Emphasis"/>
        </w:rPr>
        <w:t xml:space="preserve"> </w:t>
      </w:r>
      <w:proofErr w:type="spellStart"/>
      <w:r w:rsidR="004974A5" w:rsidRPr="001C4A98">
        <w:rPr>
          <w:rStyle w:val="Emphasis"/>
        </w:rPr>
        <w:t>Commission</w:t>
      </w:r>
      <w:proofErr w:type="spellEnd"/>
      <w:r w:rsidR="004974A5" w:rsidRPr="001C4A98">
        <w:rPr>
          <w:rStyle w:val="Emphasis"/>
        </w:rPr>
        <w:t>)</w:t>
      </w:r>
      <w:r w:rsidRPr="001C4A98">
        <w:rPr>
          <w:sz w:val="24"/>
          <w:szCs w:val="24"/>
        </w:rPr>
        <w:t>, одобрени за използване в системата на IECEE, се прилага специфична схема на сертифициране</w:t>
      </w:r>
      <w:r w:rsidR="001C3B67" w:rsidRPr="001C4A98">
        <w:rPr>
          <w:sz w:val="24"/>
          <w:szCs w:val="24"/>
        </w:rPr>
        <w:t xml:space="preserve">, </w:t>
      </w:r>
      <w:r w:rsidRPr="001C4A98">
        <w:rPr>
          <w:sz w:val="24"/>
          <w:szCs w:val="24"/>
        </w:rPr>
        <w:t>известна под наименованието “сертификационна CB схема на IECEE за взаимно признаване на сертификати на база изпитване на електротехнически съоръжения и съставни части”</w:t>
      </w:r>
      <w:r w:rsidR="004974A5" w:rsidRPr="001C4A98">
        <w:rPr>
          <w:sz w:val="24"/>
          <w:szCs w:val="24"/>
        </w:rPr>
        <w:t>, която</w:t>
      </w:r>
      <w:r w:rsidRPr="001C4A98">
        <w:rPr>
          <w:sz w:val="24"/>
          <w:szCs w:val="24"/>
        </w:rPr>
        <w:t xml:space="preserve"> е наричана за кратко</w:t>
      </w:r>
      <w:r w:rsidR="004974A5" w:rsidRPr="001C4A98">
        <w:rPr>
          <w:sz w:val="24"/>
          <w:szCs w:val="24"/>
        </w:rPr>
        <w:t>ст</w:t>
      </w:r>
      <w:r w:rsidRPr="001C4A98">
        <w:rPr>
          <w:sz w:val="24"/>
          <w:szCs w:val="24"/>
        </w:rPr>
        <w:t xml:space="preserve"> “сертификационна CB схема”.</w:t>
      </w:r>
    </w:p>
    <w:p w14:paraId="581078E2" w14:textId="16FB7503" w:rsidR="00861E64" w:rsidRPr="001C4A98" w:rsidRDefault="00861E64" w:rsidP="006C0AF4">
      <w:p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За да се потвърд</w:t>
      </w:r>
      <w:r w:rsidR="001C3B67" w:rsidRPr="001C4A98">
        <w:rPr>
          <w:sz w:val="24"/>
          <w:szCs w:val="24"/>
        </w:rPr>
        <w:t>и</w:t>
      </w:r>
      <w:r w:rsidRPr="001C4A98">
        <w:rPr>
          <w:sz w:val="24"/>
          <w:szCs w:val="24"/>
        </w:rPr>
        <w:t xml:space="preserve"> валидността и автентичността на представените документи за съответствие</w:t>
      </w:r>
      <w:r w:rsidR="0063254C" w:rsidRPr="001C4A98">
        <w:rPr>
          <w:sz w:val="24"/>
          <w:szCs w:val="24"/>
        </w:rPr>
        <w:t>,</w:t>
      </w:r>
      <w:r w:rsidRPr="001C4A98">
        <w:rPr>
          <w:sz w:val="24"/>
          <w:szCs w:val="24"/>
        </w:rPr>
        <w:t xml:space="preserve"> се извърш</w:t>
      </w:r>
      <w:r w:rsidR="003A22D0" w:rsidRPr="001C4A98">
        <w:rPr>
          <w:sz w:val="24"/>
          <w:szCs w:val="24"/>
        </w:rPr>
        <w:t>ва</w:t>
      </w:r>
      <w:r w:rsidRPr="001C4A98">
        <w:rPr>
          <w:sz w:val="24"/>
          <w:szCs w:val="24"/>
        </w:rPr>
        <w:t xml:space="preserve">  проверка, която се отнася, но не е ограничена до:</w:t>
      </w:r>
    </w:p>
    <w:p w14:paraId="0AFA4B4C" w14:textId="2D895D3D" w:rsidR="00861E64" w:rsidRPr="001C4A98" w:rsidRDefault="00A45479" w:rsidP="003A22D0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Ф</w:t>
      </w:r>
      <w:r w:rsidR="00861E64" w:rsidRPr="001C4A98">
        <w:rPr>
          <w:sz w:val="24"/>
          <w:szCs w:val="24"/>
        </w:rPr>
        <w:t>ормално съдържание на документите</w:t>
      </w:r>
      <w:r w:rsidR="00EF6DBE" w:rsidRPr="001C4A98">
        <w:rPr>
          <w:sz w:val="24"/>
          <w:szCs w:val="24"/>
        </w:rPr>
        <w:t>;</w:t>
      </w:r>
    </w:p>
    <w:p w14:paraId="2416EA05" w14:textId="77777777" w:rsidR="004974A5" w:rsidRPr="001C4A98" w:rsidRDefault="00A45479" w:rsidP="004974A5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О</w:t>
      </w:r>
      <w:r w:rsidR="003A22D0" w:rsidRPr="001C4A98">
        <w:rPr>
          <w:sz w:val="24"/>
          <w:szCs w:val="24"/>
        </w:rPr>
        <w:t>бект/</w:t>
      </w:r>
      <w:r w:rsidR="00861E64" w:rsidRPr="001C4A98">
        <w:rPr>
          <w:sz w:val="24"/>
          <w:szCs w:val="24"/>
        </w:rPr>
        <w:t>предмет на оценяваното съответствие</w:t>
      </w:r>
      <w:r w:rsidR="00EF6DBE" w:rsidRPr="001C4A98">
        <w:rPr>
          <w:sz w:val="24"/>
          <w:szCs w:val="24"/>
        </w:rPr>
        <w:t>;</w:t>
      </w:r>
    </w:p>
    <w:p w14:paraId="4B05A3A2" w14:textId="46A1AAAE" w:rsidR="004974A5" w:rsidRPr="001C4A98" w:rsidRDefault="004974A5" w:rsidP="004974A5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Основание за издаване на документа за съответствие – нормативен акт, стандарт, схема, метод, ръководство, процедура и/или друг документ, регламентиращ процеса на изпитване и оценка на съответствието;</w:t>
      </w:r>
    </w:p>
    <w:p w14:paraId="662398E0" w14:textId="7931FFBD" w:rsidR="00861E64" w:rsidRPr="001C4A98" w:rsidRDefault="00A45479" w:rsidP="003A22D0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К</w:t>
      </w:r>
      <w:r w:rsidR="00861E64" w:rsidRPr="001C4A98">
        <w:rPr>
          <w:sz w:val="24"/>
          <w:szCs w:val="24"/>
        </w:rPr>
        <w:t>ритерии за оценяване на съответствието</w:t>
      </w:r>
      <w:r w:rsidR="00EF6DBE" w:rsidRPr="001C4A98">
        <w:rPr>
          <w:sz w:val="24"/>
          <w:szCs w:val="24"/>
        </w:rPr>
        <w:t>;</w:t>
      </w:r>
    </w:p>
    <w:p w14:paraId="7EACA6BB" w14:textId="19E7BAC5" w:rsidR="00861E64" w:rsidRPr="001C4A98" w:rsidRDefault="00A45479" w:rsidP="003A22D0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О</w:t>
      </w:r>
      <w:r w:rsidR="00861E64" w:rsidRPr="001C4A98">
        <w:rPr>
          <w:sz w:val="24"/>
          <w:szCs w:val="24"/>
        </w:rPr>
        <w:t>рган за оцен</w:t>
      </w:r>
      <w:r w:rsidR="00A17233" w:rsidRPr="001C4A98">
        <w:rPr>
          <w:sz w:val="24"/>
          <w:szCs w:val="24"/>
        </w:rPr>
        <w:t>яване</w:t>
      </w:r>
      <w:r w:rsidR="00861E64" w:rsidRPr="001C4A98">
        <w:rPr>
          <w:sz w:val="24"/>
          <w:szCs w:val="24"/>
        </w:rPr>
        <w:t xml:space="preserve"> на съответствието (ООС), изда</w:t>
      </w:r>
      <w:r w:rsidR="00EF6DBE" w:rsidRPr="001C4A98">
        <w:rPr>
          <w:sz w:val="24"/>
          <w:szCs w:val="24"/>
        </w:rPr>
        <w:t>л съответния документ за оценка;</w:t>
      </w:r>
    </w:p>
    <w:p w14:paraId="69F4CB57" w14:textId="4A9C40CA" w:rsidR="004974A5" w:rsidRPr="001C4A98" w:rsidRDefault="004974A5" w:rsidP="003A22D0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Допълнителна информация и приложения;</w:t>
      </w:r>
    </w:p>
    <w:p w14:paraId="0DE3C963" w14:textId="72CE4298" w:rsidR="00DB35B9" w:rsidRDefault="00A45479" w:rsidP="00DB35B9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lastRenderedPageBreak/>
        <w:t>О</w:t>
      </w:r>
      <w:r w:rsidR="00861E64" w:rsidRPr="001C4A98">
        <w:rPr>
          <w:sz w:val="24"/>
          <w:szCs w:val="24"/>
        </w:rPr>
        <w:t>рган, който е оторизирал органа за оцен</w:t>
      </w:r>
      <w:r w:rsidR="00A17233" w:rsidRPr="001C4A98">
        <w:rPr>
          <w:sz w:val="24"/>
          <w:szCs w:val="24"/>
        </w:rPr>
        <w:t>яване</w:t>
      </w:r>
      <w:r w:rsidR="00861E64" w:rsidRPr="001C4A98">
        <w:rPr>
          <w:sz w:val="24"/>
          <w:szCs w:val="24"/>
        </w:rPr>
        <w:t xml:space="preserve"> на съответствието да издава сертификати/доклади за оценяване на съответствие</w:t>
      </w:r>
      <w:r w:rsidR="004974A5" w:rsidRPr="001C4A98">
        <w:rPr>
          <w:sz w:val="24"/>
          <w:szCs w:val="24"/>
        </w:rPr>
        <w:t xml:space="preserve"> в конкретната област</w:t>
      </w:r>
      <w:r w:rsidR="00EF6DBE" w:rsidRPr="001C4A98">
        <w:rPr>
          <w:sz w:val="24"/>
          <w:szCs w:val="24"/>
        </w:rPr>
        <w:t>.</w:t>
      </w:r>
    </w:p>
    <w:p w14:paraId="44E88F60" w14:textId="07005B49" w:rsidR="008F0580" w:rsidRDefault="008F0580" w:rsidP="00DB35B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Преди да пристъпи към проверка на документите, екипът за оценяване извършва проверка относно съответствието на модела, серийния номер и партидата </w:t>
      </w:r>
      <w:r w:rsidR="004F1230">
        <w:rPr>
          <w:sz w:val="24"/>
          <w:szCs w:val="24"/>
        </w:rPr>
        <w:t>на предоставените ТУМ</w:t>
      </w:r>
      <w:r w:rsidR="00B26E41">
        <w:rPr>
          <w:sz w:val="24"/>
          <w:szCs w:val="24"/>
        </w:rPr>
        <w:t>Г</w:t>
      </w:r>
      <w:r w:rsidR="004F1230">
        <w:rPr>
          <w:sz w:val="24"/>
          <w:szCs w:val="24"/>
        </w:rPr>
        <w:t xml:space="preserve"> от ЦИК </w:t>
      </w:r>
      <w:r>
        <w:rPr>
          <w:sz w:val="24"/>
          <w:szCs w:val="24"/>
        </w:rPr>
        <w:t>с тези</w:t>
      </w:r>
      <w:r w:rsidR="004F1230">
        <w:rPr>
          <w:sz w:val="24"/>
          <w:szCs w:val="24"/>
        </w:rPr>
        <w:t>,</w:t>
      </w:r>
      <w:r>
        <w:rPr>
          <w:sz w:val="24"/>
          <w:szCs w:val="24"/>
        </w:rPr>
        <w:t xml:space="preserve"> описани в списъка на </w:t>
      </w:r>
      <w:r w:rsidR="00996CE6">
        <w:rPr>
          <w:sz w:val="24"/>
          <w:szCs w:val="24"/>
        </w:rPr>
        <w:t xml:space="preserve">доставените </w:t>
      </w:r>
      <w:r>
        <w:rPr>
          <w:sz w:val="24"/>
          <w:szCs w:val="24"/>
        </w:rPr>
        <w:t>технически устройства.</w:t>
      </w:r>
    </w:p>
    <w:p w14:paraId="6DDDBD73" w14:textId="239276E9" w:rsidR="00DB35B9" w:rsidRPr="00DB35B9" w:rsidRDefault="00DB35B9" w:rsidP="00DB35B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установяването на валиден и автентичен сертификат/доклад за оценено съответствие, издаден от общопризната трета независима страна, не е необходимо да бъдат извършвани изпитвания/тестване и проверки в областта и в обхвата на тази сертификация.</w:t>
      </w:r>
    </w:p>
    <w:p w14:paraId="57D6BEFE" w14:textId="30F171CA" w:rsidR="00B96EE6" w:rsidRPr="001C4A98" w:rsidRDefault="003A22D0" w:rsidP="009B0D97">
      <w:p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 xml:space="preserve">Процедурата за проверка и </w:t>
      </w:r>
      <w:r w:rsidR="00861E64" w:rsidRPr="001C4A98">
        <w:rPr>
          <w:sz w:val="24"/>
          <w:szCs w:val="24"/>
        </w:rPr>
        <w:t xml:space="preserve">потвърждаване на валидността и автентичността на представени от </w:t>
      </w:r>
      <w:r w:rsidR="004D0709" w:rsidRPr="001C4A98">
        <w:rPr>
          <w:sz w:val="24"/>
          <w:szCs w:val="24"/>
        </w:rPr>
        <w:t xml:space="preserve">Изпълнителя </w:t>
      </w:r>
      <w:r w:rsidR="00861E64" w:rsidRPr="001C4A98">
        <w:rPr>
          <w:sz w:val="24"/>
          <w:szCs w:val="24"/>
        </w:rPr>
        <w:t xml:space="preserve">документи, издадени от трета независима страна за съответствие </w:t>
      </w:r>
      <w:r w:rsidR="00F429BD" w:rsidRPr="001C4A98">
        <w:rPr>
          <w:sz w:val="24"/>
          <w:szCs w:val="24"/>
        </w:rPr>
        <w:t xml:space="preserve">на доставения тип </w:t>
      </w:r>
      <w:r w:rsidR="001C3B67" w:rsidRPr="001C4A98">
        <w:rPr>
          <w:sz w:val="24"/>
          <w:szCs w:val="24"/>
        </w:rPr>
        <w:t>Т</w:t>
      </w:r>
      <w:r w:rsidR="00F429BD" w:rsidRPr="001C4A98">
        <w:rPr>
          <w:sz w:val="24"/>
          <w:szCs w:val="24"/>
        </w:rPr>
        <w:t xml:space="preserve">УМГ и/или негови компоненти </w:t>
      </w:r>
      <w:r w:rsidR="00861E64" w:rsidRPr="001C4A98">
        <w:rPr>
          <w:sz w:val="24"/>
          <w:szCs w:val="24"/>
        </w:rPr>
        <w:t xml:space="preserve">с изискванията на ИК и </w:t>
      </w:r>
      <w:r w:rsidR="005A3959" w:rsidRPr="001C4A98">
        <w:rPr>
          <w:bCs/>
          <w:sz w:val="24"/>
          <w:szCs w:val="24"/>
        </w:rPr>
        <w:t>техническите изисквания към апаратната и програмната част на ТУМГ, които са определени от ЦИК</w:t>
      </w:r>
      <w:r w:rsidR="005A3959" w:rsidRPr="001C4A98">
        <w:rPr>
          <w:sz w:val="24"/>
          <w:szCs w:val="24"/>
        </w:rPr>
        <w:t xml:space="preserve"> </w:t>
      </w:r>
      <w:r w:rsidR="00861E64" w:rsidRPr="001C4A98">
        <w:rPr>
          <w:sz w:val="24"/>
          <w:szCs w:val="24"/>
        </w:rPr>
        <w:t xml:space="preserve">е описана в Приложение </w:t>
      </w:r>
      <w:r w:rsidR="00511983" w:rsidRPr="001C4A98">
        <w:rPr>
          <w:sz w:val="24"/>
          <w:szCs w:val="24"/>
        </w:rPr>
        <w:t xml:space="preserve">№ </w:t>
      </w:r>
      <w:r w:rsidR="005F25F4" w:rsidRPr="001C4A98">
        <w:rPr>
          <w:sz w:val="24"/>
          <w:szCs w:val="24"/>
        </w:rPr>
        <w:t>1</w:t>
      </w:r>
      <w:r w:rsidR="00B11931" w:rsidRPr="001C4A98">
        <w:rPr>
          <w:sz w:val="24"/>
          <w:szCs w:val="24"/>
        </w:rPr>
        <w:t xml:space="preserve"> на настоящата Методика.</w:t>
      </w:r>
    </w:p>
    <w:p w14:paraId="39A715D2" w14:textId="77777777" w:rsidR="004974A5" w:rsidRPr="001C4A98" w:rsidRDefault="004974A5" w:rsidP="009B0D97">
      <w:pPr>
        <w:spacing w:after="120" w:line="240" w:lineRule="auto"/>
        <w:jc w:val="both"/>
        <w:rPr>
          <w:sz w:val="24"/>
          <w:szCs w:val="24"/>
        </w:rPr>
      </w:pPr>
    </w:p>
    <w:p w14:paraId="1F800BBB" w14:textId="18467B8D" w:rsidR="00B96EE6" w:rsidRPr="001C4A98" w:rsidRDefault="001D784F" w:rsidP="00E06E86">
      <w:pPr>
        <w:spacing w:after="120" w:line="240" w:lineRule="auto"/>
        <w:ind w:left="708"/>
        <w:rPr>
          <w:b/>
          <w:sz w:val="24"/>
          <w:szCs w:val="24"/>
        </w:rPr>
      </w:pPr>
      <w:r w:rsidRPr="001C4A98">
        <w:rPr>
          <w:b/>
          <w:sz w:val="24"/>
          <w:szCs w:val="24"/>
        </w:rPr>
        <w:t>6</w:t>
      </w:r>
      <w:r w:rsidR="00B96EE6" w:rsidRPr="001C4A98">
        <w:rPr>
          <w:b/>
          <w:sz w:val="24"/>
          <w:szCs w:val="24"/>
        </w:rPr>
        <w:t xml:space="preserve">.2. </w:t>
      </w:r>
      <w:r w:rsidR="00F601B5" w:rsidRPr="001C4A98">
        <w:rPr>
          <w:b/>
          <w:sz w:val="24"/>
          <w:szCs w:val="24"/>
        </w:rPr>
        <w:t>П</w:t>
      </w:r>
      <w:r w:rsidR="00861E64" w:rsidRPr="001C4A98">
        <w:rPr>
          <w:b/>
          <w:sz w:val="24"/>
          <w:szCs w:val="24"/>
        </w:rPr>
        <w:t>роверка на изискванията към хардуерната</w:t>
      </w:r>
      <w:r w:rsidR="00E06E86" w:rsidRPr="001C4A98">
        <w:rPr>
          <w:b/>
          <w:sz w:val="24"/>
          <w:szCs w:val="24"/>
        </w:rPr>
        <w:t xml:space="preserve"> </w:t>
      </w:r>
      <w:r w:rsidR="00861E64" w:rsidRPr="001C4A98">
        <w:rPr>
          <w:b/>
          <w:sz w:val="24"/>
          <w:szCs w:val="24"/>
        </w:rPr>
        <w:t xml:space="preserve">конфигурация </w:t>
      </w:r>
      <w:r w:rsidR="00F601B5" w:rsidRPr="001C4A98">
        <w:rPr>
          <w:b/>
          <w:sz w:val="24"/>
          <w:szCs w:val="24"/>
        </w:rPr>
        <w:t>на доставения</w:t>
      </w:r>
      <w:r w:rsidR="00861E64" w:rsidRPr="001C4A98">
        <w:rPr>
          <w:b/>
          <w:sz w:val="24"/>
          <w:szCs w:val="24"/>
        </w:rPr>
        <w:t xml:space="preserve"> тип ТУМГ</w:t>
      </w:r>
    </w:p>
    <w:p w14:paraId="01AA908E" w14:textId="77777777" w:rsidR="00CE7AF4" w:rsidRPr="001C4A98" w:rsidRDefault="00CE7AF4" w:rsidP="00CE7AF4">
      <w:p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Методите и процедурите за изследване на доставения тип ТУМГ включват, но не са ограничени до:</w:t>
      </w:r>
    </w:p>
    <w:p w14:paraId="07785B1A" w14:textId="77777777" w:rsidR="00CE7AF4" w:rsidRPr="001C4A98" w:rsidRDefault="00CE7AF4" w:rsidP="00CE7AF4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 xml:space="preserve">Проверка на външен вид и маркировка на вградените компоненти и съответствие с Техническата документация, по отношение заложените в </w:t>
      </w:r>
      <w:r w:rsidRPr="008163F2">
        <w:rPr>
          <w:sz w:val="24"/>
          <w:szCs w:val="24"/>
        </w:rPr>
        <w:t>техническите изисквания към апаратната и програмната част на техническите устройства за машинно гласуване (ТУМГ), определени от ЦИК</w:t>
      </w:r>
      <w:r w:rsidRPr="001C4A98">
        <w:rPr>
          <w:sz w:val="24"/>
          <w:szCs w:val="24"/>
        </w:rPr>
        <w:t xml:space="preserve"> параметри на компонентите. </w:t>
      </w:r>
    </w:p>
    <w:p w14:paraId="2F4B9AD0" w14:textId="77777777" w:rsidR="00CE7AF4" w:rsidRPr="001C4A98" w:rsidRDefault="00CE7AF4" w:rsidP="00CE7AF4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Проверка на вградените периферни устройства по отношение на техническите характеристики, начина им на функциониране и обслужване.</w:t>
      </w:r>
    </w:p>
    <w:p w14:paraId="027EE809" w14:textId="77777777" w:rsidR="00CE7AF4" w:rsidRPr="001C4A98" w:rsidRDefault="00CE7AF4" w:rsidP="00CE7AF4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Проверка за наличие на неидентифицирани или неописани в документацията компоненти.</w:t>
      </w:r>
    </w:p>
    <w:p w14:paraId="59985AA0" w14:textId="77777777" w:rsidR="00CE7AF4" w:rsidRPr="001C4A98" w:rsidRDefault="00CE7AF4" w:rsidP="00CE7AF4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Определяне на критичните за функционирането на ТУМГ компоненти и системи.</w:t>
      </w:r>
    </w:p>
    <w:p w14:paraId="44D99AE9" w14:textId="77777777" w:rsidR="00CE7AF4" w:rsidRPr="001C4A98" w:rsidRDefault="00CE7AF4" w:rsidP="00CE7AF4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Проверка на конструктивното изпълнение на монолитния корпус на ТУМГ по отношение на ограничаване на физическия достъп до критичните за работата компоненти, осигуряване на оторизиран достъп до компоненти, за които е предвидено обслужване, предвидените нива на физически достъп при експлоатация от членове на секционните избирателни комисии и избирателите.</w:t>
      </w:r>
    </w:p>
    <w:p w14:paraId="6B18A938" w14:textId="77777777" w:rsidR="00CE7AF4" w:rsidRDefault="00CE7AF4" w:rsidP="00CE7AF4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 xml:space="preserve">Технически преглед на представените доклади, декларации и протоколи за електробезопасност, електромагнитна съвместимост, температурен </w:t>
      </w:r>
      <w:r w:rsidRPr="001C4A98">
        <w:rPr>
          <w:sz w:val="24"/>
          <w:szCs w:val="24"/>
        </w:rPr>
        <w:lastRenderedPageBreak/>
        <w:t xml:space="preserve">диапазон на използване, допустими вибрации, както и на други приложими документи, правила и начини на транспорт и съхранение.  </w:t>
      </w:r>
    </w:p>
    <w:p w14:paraId="2C20BB9C" w14:textId="77777777" w:rsidR="00CE7AF4" w:rsidRPr="0035225C" w:rsidRDefault="00CE7AF4" w:rsidP="00CE7AF4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35225C">
        <w:rPr>
          <w:sz w:val="24"/>
          <w:szCs w:val="24"/>
        </w:rPr>
        <w:t xml:space="preserve">Проверка за работата на </w:t>
      </w:r>
      <w:r>
        <w:rPr>
          <w:sz w:val="24"/>
          <w:szCs w:val="24"/>
        </w:rPr>
        <w:t xml:space="preserve">ТУМГ </w:t>
      </w:r>
      <w:r w:rsidRPr="0035225C">
        <w:rPr>
          <w:sz w:val="24"/>
          <w:szCs w:val="24"/>
        </w:rPr>
        <w:t>при самия процес на гласуване - възможно ли е един човек да гласува повече от веднъж;</w:t>
      </w:r>
    </w:p>
    <w:p w14:paraId="7ECA29A8" w14:textId="77777777" w:rsidR="00CE7AF4" w:rsidRPr="0035225C" w:rsidRDefault="00CE7AF4" w:rsidP="00CE7AF4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35225C">
        <w:rPr>
          <w:sz w:val="24"/>
          <w:szCs w:val="24"/>
        </w:rPr>
        <w:t xml:space="preserve">Проверка дали физически има достъп до комуникационните интерфейси на машината и проверка дали те са изключени; </w:t>
      </w:r>
    </w:p>
    <w:p w14:paraId="2CAD1801" w14:textId="5B04B86A" w:rsidR="00CE7AF4" w:rsidRPr="0035225C" w:rsidRDefault="00CE7AF4" w:rsidP="00CE7AF4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35225C">
        <w:rPr>
          <w:sz w:val="24"/>
          <w:szCs w:val="24"/>
        </w:rPr>
        <w:t>Проверка дали има възможност само за гласуване, и дали е възможен неразрешен до</w:t>
      </w:r>
      <w:r w:rsidR="001D3D0D">
        <w:rPr>
          <w:sz w:val="24"/>
          <w:szCs w:val="24"/>
        </w:rPr>
        <w:t>стъп до машината за други цели.</w:t>
      </w:r>
    </w:p>
    <w:p w14:paraId="1DF9107B" w14:textId="4FBFBE4F" w:rsidR="004F1230" w:rsidRPr="00BF72CC" w:rsidRDefault="004F1230" w:rsidP="00BF72CC">
      <w:pPr>
        <w:spacing w:after="120" w:line="240" w:lineRule="auto"/>
        <w:jc w:val="both"/>
        <w:rPr>
          <w:sz w:val="24"/>
          <w:szCs w:val="24"/>
        </w:rPr>
      </w:pPr>
      <w:r w:rsidRPr="00BF72CC">
        <w:rPr>
          <w:sz w:val="24"/>
          <w:szCs w:val="24"/>
        </w:rPr>
        <w:t xml:space="preserve">Преди да пристъпи към </w:t>
      </w:r>
      <w:r>
        <w:rPr>
          <w:sz w:val="24"/>
          <w:szCs w:val="24"/>
        </w:rPr>
        <w:t>реализиране на дейностите по Плана за оценяване</w:t>
      </w:r>
      <w:r w:rsidRPr="00BF72CC">
        <w:rPr>
          <w:sz w:val="24"/>
          <w:szCs w:val="24"/>
        </w:rPr>
        <w:t>, екипът за оценяване извършва проверка относно съответствието на модела, серийния номер и партидата на предоставените ТУМ</w:t>
      </w:r>
      <w:r w:rsidR="00BF72CC">
        <w:rPr>
          <w:sz w:val="24"/>
          <w:szCs w:val="24"/>
        </w:rPr>
        <w:t>Г</w:t>
      </w:r>
      <w:r w:rsidRPr="00BF72CC">
        <w:rPr>
          <w:sz w:val="24"/>
          <w:szCs w:val="24"/>
        </w:rPr>
        <w:t xml:space="preserve"> от ЦИК с тези, описани в списъка на </w:t>
      </w:r>
      <w:r w:rsidR="00996CE6">
        <w:rPr>
          <w:sz w:val="24"/>
          <w:szCs w:val="24"/>
        </w:rPr>
        <w:t xml:space="preserve">доставените </w:t>
      </w:r>
      <w:r w:rsidRPr="00BF72CC">
        <w:rPr>
          <w:sz w:val="24"/>
          <w:szCs w:val="24"/>
        </w:rPr>
        <w:t>технически устройства</w:t>
      </w:r>
      <w:r w:rsidR="00996CE6">
        <w:rPr>
          <w:sz w:val="24"/>
          <w:szCs w:val="24"/>
        </w:rPr>
        <w:t xml:space="preserve">. </w:t>
      </w:r>
    </w:p>
    <w:p w14:paraId="077EAF84" w14:textId="2D7CCDC6" w:rsidR="00CE7AF4" w:rsidRPr="001C4A98" w:rsidRDefault="00CE7AF4" w:rsidP="00CE7AF4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Предвид естеството на дейностите по тази точка от настоящата </w:t>
      </w:r>
      <w:r w:rsidR="00B679F9" w:rsidRPr="001C4A98">
        <w:rPr>
          <w:bCs/>
          <w:sz w:val="24"/>
          <w:szCs w:val="24"/>
        </w:rPr>
        <w:t>Методика</w:t>
      </w:r>
      <w:r w:rsidRPr="001C4A98">
        <w:rPr>
          <w:bCs/>
          <w:sz w:val="24"/>
          <w:szCs w:val="24"/>
        </w:rPr>
        <w:t>, които са свързани с отваряне на монолитния корпус и изследване на съставните части на ТУМГ, устройството, което е предоставено за целите на техническото изследване, не трябва да бъде използвано в последствие в рамките на изборния процес и остава на разположение на удостоверяващите институции.</w:t>
      </w:r>
    </w:p>
    <w:p w14:paraId="22200391" w14:textId="77777777" w:rsidR="00CE7AF4" w:rsidRPr="001C4A98" w:rsidRDefault="00CE7AF4" w:rsidP="00CE7AF4">
      <w:p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>Процедурата по проверка на изискванията към хардуерната конфигурация на доставения тип ТУМГ  е описана в Приложение № 2 на настоящата Методика.</w:t>
      </w:r>
    </w:p>
    <w:p w14:paraId="0C4E6C5E" w14:textId="7C27CBF9" w:rsidR="004974A5" w:rsidRPr="001C4A98" w:rsidRDefault="004974A5" w:rsidP="00D4364F">
      <w:pPr>
        <w:spacing w:after="120"/>
        <w:ind w:left="708"/>
        <w:jc w:val="both"/>
        <w:rPr>
          <w:b/>
          <w:sz w:val="24"/>
          <w:szCs w:val="24"/>
        </w:rPr>
      </w:pPr>
    </w:p>
    <w:p w14:paraId="1F378854" w14:textId="5D83F528" w:rsidR="004974A5" w:rsidRPr="00F35816" w:rsidRDefault="004974A5" w:rsidP="004974A5">
      <w:pPr>
        <w:spacing w:after="120"/>
        <w:ind w:left="708"/>
        <w:jc w:val="both"/>
        <w:rPr>
          <w:b/>
          <w:sz w:val="24"/>
          <w:szCs w:val="24"/>
        </w:rPr>
      </w:pPr>
      <w:r w:rsidRPr="001C4A98">
        <w:rPr>
          <w:b/>
          <w:szCs w:val="24"/>
        </w:rPr>
        <w:t>6</w:t>
      </w:r>
      <w:r w:rsidRPr="00F35816">
        <w:rPr>
          <w:b/>
          <w:sz w:val="24"/>
          <w:szCs w:val="24"/>
        </w:rPr>
        <w:t xml:space="preserve">.3. Проверка и оценка на функционалността на ТУМГ за съответствие с </w:t>
      </w:r>
      <w:r w:rsidR="00A140D9" w:rsidRPr="00A140D9">
        <w:rPr>
          <w:b/>
          <w:sz w:val="24"/>
          <w:szCs w:val="24"/>
        </w:rPr>
        <w:t>техническите и функционалните изисквания на ИК</w:t>
      </w:r>
    </w:p>
    <w:p w14:paraId="1AECF043" w14:textId="00D09B1D" w:rsidR="00A140D9" w:rsidRDefault="004974A5" w:rsidP="00A140D9">
      <w:pPr>
        <w:spacing w:after="120" w:line="240" w:lineRule="auto"/>
        <w:jc w:val="both"/>
        <w:rPr>
          <w:sz w:val="24"/>
          <w:szCs w:val="24"/>
        </w:rPr>
      </w:pPr>
      <w:r w:rsidRPr="00F35816">
        <w:rPr>
          <w:sz w:val="24"/>
          <w:szCs w:val="24"/>
        </w:rPr>
        <w:t xml:space="preserve">Проверяват се </w:t>
      </w:r>
      <w:r w:rsidR="00A140D9" w:rsidRPr="00A140D9">
        <w:rPr>
          <w:sz w:val="24"/>
          <w:szCs w:val="24"/>
        </w:rPr>
        <w:t>съответствието на дефинирани в Изборния кодекс и описани като изисквания към ТУМГ технологични процеси при машинното гласуване, с функционалните възможности на  доставения тип устройство.</w:t>
      </w:r>
    </w:p>
    <w:p w14:paraId="2F008606" w14:textId="0EC9F709" w:rsidR="004974A5" w:rsidRPr="00F35816" w:rsidRDefault="004974A5" w:rsidP="00A140D9">
      <w:pPr>
        <w:spacing w:after="120" w:line="240" w:lineRule="auto"/>
        <w:jc w:val="both"/>
        <w:rPr>
          <w:sz w:val="24"/>
          <w:szCs w:val="24"/>
        </w:rPr>
      </w:pPr>
      <w:r w:rsidRPr="00F35816">
        <w:rPr>
          <w:sz w:val="24"/>
          <w:szCs w:val="24"/>
        </w:rPr>
        <w:t>За целта процедурата по проверката е структурирана в последователност съответстваща на технологичните процеси по време на изборния ден с използване на ТУМГ и обхваща проверка на функциите и  дейностите извършвани непосредствено от членовете на СИК и избирателите в процеса на гласуване с ТУМГ в рамките на изборния ден:</w:t>
      </w:r>
    </w:p>
    <w:p w14:paraId="42225DC2" w14:textId="77777777" w:rsidR="004974A5" w:rsidRPr="00F35816" w:rsidRDefault="004974A5" w:rsidP="004974A5">
      <w:pPr>
        <w:numPr>
          <w:ilvl w:val="0"/>
          <w:numId w:val="4"/>
        </w:numPr>
        <w:tabs>
          <w:tab w:val="num" w:pos="720"/>
        </w:tabs>
        <w:spacing w:after="120" w:line="240" w:lineRule="auto"/>
        <w:jc w:val="both"/>
        <w:rPr>
          <w:sz w:val="24"/>
          <w:szCs w:val="24"/>
        </w:rPr>
      </w:pPr>
      <w:r w:rsidRPr="00F35816">
        <w:rPr>
          <w:sz w:val="24"/>
          <w:szCs w:val="24"/>
        </w:rPr>
        <w:t xml:space="preserve">Проверка на </w:t>
      </w:r>
      <w:proofErr w:type="spellStart"/>
      <w:r w:rsidRPr="00F35816">
        <w:rPr>
          <w:sz w:val="24"/>
          <w:szCs w:val="24"/>
        </w:rPr>
        <w:t>комплектността</w:t>
      </w:r>
      <w:proofErr w:type="spellEnd"/>
      <w:r w:rsidRPr="00F35816">
        <w:rPr>
          <w:sz w:val="24"/>
          <w:szCs w:val="24"/>
        </w:rPr>
        <w:t xml:space="preserve"> на ТУМГ и потребителската документация; </w:t>
      </w:r>
    </w:p>
    <w:p w14:paraId="3B73C38D" w14:textId="79C9F370" w:rsidR="004974A5" w:rsidRPr="00F35816" w:rsidRDefault="004974A5" w:rsidP="004974A5">
      <w:pPr>
        <w:numPr>
          <w:ilvl w:val="0"/>
          <w:numId w:val="4"/>
        </w:numPr>
        <w:tabs>
          <w:tab w:val="num" w:pos="720"/>
        </w:tabs>
        <w:spacing w:after="120" w:line="240" w:lineRule="auto"/>
        <w:jc w:val="both"/>
        <w:rPr>
          <w:sz w:val="24"/>
          <w:szCs w:val="24"/>
        </w:rPr>
      </w:pPr>
      <w:r w:rsidRPr="00F35816">
        <w:rPr>
          <w:sz w:val="24"/>
          <w:szCs w:val="24"/>
        </w:rPr>
        <w:t xml:space="preserve">Проверка за удостоверяване на оторизиран достъп до </w:t>
      </w:r>
      <w:r w:rsidR="00732C04">
        <w:rPr>
          <w:sz w:val="24"/>
          <w:szCs w:val="24"/>
        </w:rPr>
        <w:t>ТУМГ и базови функционалности</w:t>
      </w:r>
      <w:r w:rsidRPr="00F35816">
        <w:rPr>
          <w:sz w:val="24"/>
          <w:szCs w:val="24"/>
        </w:rPr>
        <w:t xml:space="preserve"> на ТУМГ:</w:t>
      </w:r>
    </w:p>
    <w:p w14:paraId="6321DD86" w14:textId="77777777" w:rsidR="004974A5" w:rsidRPr="00F35816" w:rsidRDefault="004974A5" w:rsidP="004974A5">
      <w:pPr>
        <w:numPr>
          <w:ilvl w:val="1"/>
          <w:numId w:val="4"/>
        </w:numPr>
        <w:tabs>
          <w:tab w:val="clear" w:pos="2148"/>
          <w:tab w:val="num" w:pos="1843"/>
        </w:tabs>
        <w:spacing w:after="120" w:line="240" w:lineRule="auto"/>
        <w:ind w:left="1843" w:firstLine="0"/>
        <w:jc w:val="both"/>
        <w:rPr>
          <w:sz w:val="24"/>
          <w:szCs w:val="24"/>
        </w:rPr>
      </w:pPr>
      <w:r w:rsidRPr="00F35816">
        <w:rPr>
          <w:rFonts w:asciiTheme="minorHAnsi" w:hAnsiTheme="minorHAnsi" w:cstheme="minorHAnsi"/>
          <w:sz w:val="24"/>
          <w:szCs w:val="24"/>
        </w:rPr>
        <w:t>Стартиране</w:t>
      </w:r>
      <w:r w:rsidRPr="00F35816">
        <w:rPr>
          <w:sz w:val="24"/>
          <w:szCs w:val="24"/>
        </w:rPr>
        <w:t xml:space="preserve"> на ТУМГ със смарткарта за управление, верификация на електронния сертификат и визуализиране на номенклатурните данни заредени от ЗТУ;</w:t>
      </w:r>
    </w:p>
    <w:p w14:paraId="253C4DB3" w14:textId="77777777" w:rsidR="004974A5" w:rsidRPr="00F35816" w:rsidRDefault="004974A5" w:rsidP="00AF54DA">
      <w:pPr>
        <w:numPr>
          <w:ilvl w:val="1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F35816">
        <w:rPr>
          <w:rFonts w:asciiTheme="minorHAnsi" w:hAnsiTheme="minorHAnsi" w:cstheme="minorHAnsi"/>
          <w:sz w:val="24"/>
          <w:szCs w:val="24"/>
        </w:rPr>
        <w:t>Валидация</w:t>
      </w:r>
      <w:r w:rsidRPr="00F35816">
        <w:rPr>
          <w:sz w:val="24"/>
          <w:szCs w:val="24"/>
        </w:rPr>
        <w:t xml:space="preserve"> на смарткартите за конкретна избирателна секция;</w:t>
      </w:r>
    </w:p>
    <w:p w14:paraId="157D94B6" w14:textId="77777777" w:rsidR="004974A5" w:rsidRPr="00F35816" w:rsidRDefault="004974A5" w:rsidP="004974A5">
      <w:pPr>
        <w:numPr>
          <w:ilvl w:val="1"/>
          <w:numId w:val="4"/>
        </w:numPr>
        <w:tabs>
          <w:tab w:val="clear" w:pos="2148"/>
          <w:tab w:val="num" w:pos="1843"/>
        </w:tabs>
        <w:spacing w:after="120" w:line="240" w:lineRule="auto"/>
        <w:ind w:left="1843" w:firstLine="0"/>
        <w:jc w:val="both"/>
        <w:rPr>
          <w:sz w:val="24"/>
          <w:szCs w:val="24"/>
        </w:rPr>
      </w:pPr>
      <w:r w:rsidRPr="00F35816">
        <w:rPr>
          <w:sz w:val="24"/>
          <w:szCs w:val="24"/>
        </w:rPr>
        <w:t>Визуализация на номенклатурните данни и бюлетина;</w:t>
      </w:r>
    </w:p>
    <w:p w14:paraId="0DBEC4F0" w14:textId="057605A4" w:rsidR="004974A5" w:rsidRPr="00F35816" w:rsidRDefault="004974A5" w:rsidP="004974A5">
      <w:pPr>
        <w:numPr>
          <w:ilvl w:val="1"/>
          <w:numId w:val="4"/>
        </w:numPr>
        <w:tabs>
          <w:tab w:val="clear" w:pos="2148"/>
          <w:tab w:val="num" w:pos="1843"/>
        </w:tabs>
        <w:spacing w:after="120" w:line="240" w:lineRule="auto"/>
        <w:ind w:left="1843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5816">
        <w:rPr>
          <w:rFonts w:asciiTheme="minorHAnsi" w:hAnsiTheme="minorHAnsi" w:cstheme="minorHAnsi"/>
          <w:sz w:val="24"/>
          <w:szCs w:val="24"/>
        </w:rPr>
        <w:lastRenderedPageBreak/>
        <w:t>Проверка на функционалността на периферните устройства на ТУМГ чрез вътрешен тест.</w:t>
      </w:r>
    </w:p>
    <w:p w14:paraId="6A95F537" w14:textId="13BFF0B7" w:rsidR="004974A5" w:rsidRPr="00F35816" w:rsidRDefault="004974A5" w:rsidP="004974A5">
      <w:pPr>
        <w:numPr>
          <w:ilvl w:val="0"/>
          <w:numId w:val="4"/>
        </w:numPr>
        <w:tabs>
          <w:tab w:val="num" w:pos="72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5816">
        <w:rPr>
          <w:rFonts w:asciiTheme="minorHAnsi" w:hAnsiTheme="minorHAnsi" w:cstheme="minorHAnsi"/>
          <w:sz w:val="24"/>
          <w:szCs w:val="24"/>
        </w:rPr>
        <w:t xml:space="preserve">Проверка на функциите на ТУМГ </w:t>
      </w:r>
      <w:r w:rsidR="00451DF2">
        <w:rPr>
          <w:rFonts w:asciiTheme="minorHAnsi" w:hAnsiTheme="minorHAnsi" w:cstheme="minorHAnsi"/>
          <w:sz w:val="24"/>
          <w:szCs w:val="24"/>
        </w:rPr>
        <w:t>по време на изборния процес</w:t>
      </w:r>
      <w:r w:rsidRPr="00F35816">
        <w:rPr>
          <w:rFonts w:asciiTheme="minorHAnsi" w:hAnsiTheme="minorHAnsi" w:cstheme="minorHAnsi"/>
          <w:sz w:val="24"/>
          <w:szCs w:val="24"/>
        </w:rPr>
        <w:t>:</w:t>
      </w:r>
    </w:p>
    <w:p w14:paraId="15ED2A81" w14:textId="77777777" w:rsidR="004974A5" w:rsidRPr="00F35816" w:rsidRDefault="004974A5" w:rsidP="004974A5">
      <w:pPr>
        <w:numPr>
          <w:ilvl w:val="1"/>
          <w:numId w:val="4"/>
        </w:numPr>
        <w:tabs>
          <w:tab w:val="clear" w:pos="2148"/>
          <w:tab w:val="num" w:pos="1440"/>
        </w:tabs>
        <w:spacing w:after="120" w:line="240" w:lineRule="auto"/>
        <w:ind w:left="1440" w:firstLine="403"/>
        <w:jc w:val="both"/>
        <w:rPr>
          <w:rFonts w:asciiTheme="minorHAnsi" w:hAnsiTheme="minorHAnsi" w:cstheme="minorHAnsi"/>
          <w:sz w:val="24"/>
          <w:szCs w:val="24"/>
        </w:rPr>
      </w:pPr>
      <w:r w:rsidRPr="00F35816">
        <w:rPr>
          <w:sz w:val="24"/>
          <w:szCs w:val="24"/>
        </w:rPr>
        <w:t xml:space="preserve">Активиране на ТУМГ в режим на за гласуване </w:t>
      </w:r>
      <w:r w:rsidRPr="00F35816">
        <w:rPr>
          <w:rFonts w:asciiTheme="minorHAnsi" w:hAnsiTheme="minorHAnsi" w:cstheme="minorHAnsi"/>
          <w:sz w:val="24"/>
          <w:szCs w:val="24"/>
        </w:rPr>
        <w:t>с вид бюлетини според конфигурацията на съответния избор;</w:t>
      </w:r>
    </w:p>
    <w:p w14:paraId="46846371" w14:textId="77777777" w:rsidR="004974A5" w:rsidRPr="00F35816" w:rsidRDefault="004974A5" w:rsidP="004974A5">
      <w:pPr>
        <w:numPr>
          <w:ilvl w:val="1"/>
          <w:numId w:val="4"/>
        </w:numPr>
        <w:tabs>
          <w:tab w:val="clear" w:pos="2148"/>
          <w:tab w:val="num" w:pos="1440"/>
        </w:tabs>
        <w:spacing w:after="120" w:line="240" w:lineRule="auto"/>
        <w:ind w:left="1440" w:firstLine="403"/>
        <w:jc w:val="both"/>
        <w:rPr>
          <w:rFonts w:asciiTheme="minorHAnsi" w:hAnsiTheme="minorHAnsi" w:cstheme="minorHAnsi"/>
          <w:sz w:val="24"/>
          <w:szCs w:val="24"/>
        </w:rPr>
      </w:pPr>
      <w:r w:rsidRPr="00F35816">
        <w:rPr>
          <w:rFonts w:asciiTheme="minorHAnsi" w:hAnsiTheme="minorHAnsi" w:cstheme="minorHAnsi"/>
          <w:sz w:val="24"/>
          <w:szCs w:val="24"/>
        </w:rPr>
        <w:t>Реализиране на избор на партия/коалиция и преференция;</w:t>
      </w:r>
    </w:p>
    <w:p w14:paraId="5FE7B1F4" w14:textId="77777777" w:rsidR="004974A5" w:rsidRPr="00F35816" w:rsidRDefault="004974A5" w:rsidP="004974A5">
      <w:pPr>
        <w:numPr>
          <w:ilvl w:val="1"/>
          <w:numId w:val="4"/>
        </w:numPr>
        <w:tabs>
          <w:tab w:val="clear" w:pos="2148"/>
          <w:tab w:val="num" w:pos="1440"/>
        </w:tabs>
        <w:spacing w:after="120" w:line="240" w:lineRule="auto"/>
        <w:ind w:left="1440" w:firstLine="403"/>
        <w:jc w:val="both"/>
        <w:rPr>
          <w:rFonts w:asciiTheme="minorHAnsi" w:hAnsiTheme="minorHAnsi" w:cstheme="minorHAnsi"/>
          <w:sz w:val="24"/>
          <w:szCs w:val="24"/>
        </w:rPr>
      </w:pPr>
      <w:r w:rsidRPr="00F35816">
        <w:rPr>
          <w:rFonts w:asciiTheme="minorHAnsi" w:hAnsiTheme="minorHAnsi" w:cstheme="minorHAnsi"/>
          <w:sz w:val="24"/>
          <w:szCs w:val="24"/>
        </w:rPr>
        <w:t>Проверка на избора;</w:t>
      </w:r>
    </w:p>
    <w:p w14:paraId="56A2B78E" w14:textId="77777777" w:rsidR="004974A5" w:rsidRPr="00F35816" w:rsidRDefault="004974A5" w:rsidP="004974A5">
      <w:pPr>
        <w:numPr>
          <w:ilvl w:val="1"/>
          <w:numId w:val="4"/>
        </w:numPr>
        <w:tabs>
          <w:tab w:val="clear" w:pos="2148"/>
          <w:tab w:val="num" w:pos="1428"/>
        </w:tabs>
        <w:spacing w:after="120" w:line="240" w:lineRule="auto"/>
        <w:ind w:left="1440" w:firstLine="403"/>
        <w:jc w:val="both"/>
        <w:rPr>
          <w:rFonts w:asciiTheme="minorHAnsi" w:hAnsiTheme="minorHAnsi" w:cstheme="minorHAnsi"/>
          <w:sz w:val="24"/>
          <w:szCs w:val="24"/>
        </w:rPr>
      </w:pPr>
      <w:r w:rsidRPr="00F35816">
        <w:rPr>
          <w:rFonts w:asciiTheme="minorHAnsi" w:hAnsiTheme="minorHAnsi" w:cstheme="minorHAnsi"/>
          <w:sz w:val="24"/>
          <w:szCs w:val="24"/>
        </w:rPr>
        <w:t>Отпечатване на контролна разписка;</w:t>
      </w:r>
    </w:p>
    <w:p w14:paraId="3B689B3A" w14:textId="77777777" w:rsidR="004974A5" w:rsidRPr="00F35816" w:rsidRDefault="004974A5" w:rsidP="004974A5">
      <w:pPr>
        <w:numPr>
          <w:ilvl w:val="1"/>
          <w:numId w:val="4"/>
        </w:numPr>
        <w:tabs>
          <w:tab w:val="clear" w:pos="2148"/>
          <w:tab w:val="num" w:pos="1440"/>
        </w:tabs>
        <w:spacing w:after="120" w:line="240" w:lineRule="auto"/>
        <w:ind w:left="1440" w:firstLine="403"/>
        <w:jc w:val="both"/>
        <w:rPr>
          <w:rFonts w:asciiTheme="minorHAnsi" w:hAnsiTheme="minorHAnsi" w:cstheme="minorHAnsi"/>
          <w:sz w:val="24"/>
          <w:szCs w:val="24"/>
        </w:rPr>
      </w:pPr>
      <w:r w:rsidRPr="00F35816">
        <w:rPr>
          <w:rFonts w:asciiTheme="minorHAnsi" w:hAnsiTheme="minorHAnsi" w:cstheme="minorHAnsi"/>
          <w:sz w:val="24"/>
          <w:szCs w:val="24"/>
        </w:rPr>
        <w:t>Показване броя на гласувалите след въвеждане на смарткарта за управление.</w:t>
      </w:r>
    </w:p>
    <w:p w14:paraId="3717D557" w14:textId="77777777" w:rsidR="004974A5" w:rsidRPr="00F35816" w:rsidRDefault="004974A5" w:rsidP="004974A5">
      <w:pPr>
        <w:numPr>
          <w:ilvl w:val="0"/>
          <w:numId w:val="4"/>
        </w:numPr>
        <w:tabs>
          <w:tab w:val="num" w:pos="72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5816">
        <w:rPr>
          <w:rFonts w:asciiTheme="minorHAnsi" w:hAnsiTheme="minorHAnsi" w:cstheme="minorHAnsi"/>
          <w:sz w:val="24"/>
          <w:szCs w:val="24"/>
        </w:rPr>
        <w:t>Проверка за осигуряване на подобрена визуализация за избиратели с намалено зрение;</w:t>
      </w:r>
    </w:p>
    <w:p w14:paraId="28603935" w14:textId="77777777" w:rsidR="004974A5" w:rsidRPr="00F35816" w:rsidRDefault="004974A5" w:rsidP="004974A5">
      <w:pPr>
        <w:numPr>
          <w:ilvl w:val="0"/>
          <w:numId w:val="4"/>
        </w:numPr>
        <w:tabs>
          <w:tab w:val="num" w:pos="72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5816">
        <w:rPr>
          <w:rFonts w:asciiTheme="minorHAnsi" w:hAnsiTheme="minorHAnsi" w:cstheme="minorHAnsi"/>
          <w:sz w:val="24"/>
          <w:szCs w:val="24"/>
        </w:rPr>
        <w:t>Проверка на функциите на ТУМГ, свързани с края на изборния ден;</w:t>
      </w:r>
    </w:p>
    <w:p w14:paraId="0E7F6E7D" w14:textId="77777777" w:rsidR="004974A5" w:rsidRPr="00F35816" w:rsidRDefault="004974A5" w:rsidP="004974A5">
      <w:pPr>
        <w:numPr>
          <w:ilvl w:val="0"/>
          <w:numId w:val="4"/>
        </w:numPr>
        <w:tabs>
          <w:tab w:val="num" w:pos="72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5816">
        <w:rPr>
          <w:rFonts w:asciiTheme="minorHAnsi" w:hAnsiTheme="minorHAnsi" w:cstheme="minorHAnsi"/>
          <w:sz w:val="24"/>
          <w:szCs w:val="24"/>
        </w:rPr>
        <w:t>Проверка на функциите на ТУМГ, свързани със записване на резултатите от гласуването върху ЗТУ;</w:t>
      </w:r>
    </w:p>
    <w:p w14:paraId="49BE68C8" w14:textId="087E5EEB" w:rsidR="004974A5" w:rsidRPr="00F35816" w:rsidRDefault="004974A5" w:rsidP="004974A5">
      <w:pPr>
        <w:numPr>
          <w:ilvl w:val="0"/>
          <w:numId w:val="4"/>
        </w:numPr>
        <w:tabs>
          <w:tab w:val="num" w:pos="72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5816">
        <w:rPr>
          <w:rFonts w:asciiTheme="minorHAnsi" w:hAnsiTheme="minorHAnsi" w:cstheme="minorHAnsi"/>
          <w:sz w:val="24"/>
          <w:szCs w:val="24"/>
        </w:rPr>
        <w:t xml:space="preserve">Проверка на ТУМГ за </w:t>
      </w:r>
      <w:r w:rsidR="00016EE7">
        <w:rPr>
          <w:rFonts w:asciiTheme="minorHAnsi" w:hAnsiTheme="minorHAnsi" w:cstheme="minorHAnsi"/>
          <w:sz w:val="24"/>
          <w:szCs w:val="24"/>
        </w:rPr>
        <w:t>функциониране в аварийни</w:t>
      </w:r>
      <w:r w:rsidRPr="00F35816">
        <w:rPr>
          <w:rFonts w:asciiTheme="minorHAnsi" w:hAnsiTheme="minorHAnsi" w:cstheme="minorHAnsi"/>
          <w:sz w:val="24"/>
          <w:szCs w:val="24"/>
        </w:rPr>
        <w:t xml:space="preserve"> ситуации;</w:t>
      </w:r>
    </w:p>
    <w:p w14:paraId="28C6A36A" w14:textId="245F4FE6" w:rsidR="004974A5" w:rsidRDefault="004974A5" w:rsidP="004974A5">
      <w:pPr>
        <w:numPr>
          <w:ilvl w:val="0"/>
          <w:numId w:val="4"/>
        </w:numPr>
        <w:tabs>
          <w:tab w:val="num" w:pos="72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5816">
        <w:rPr>
          <w:rFonts w:asciiTheme="minorHAnsi" w:hAnsiTheme="minorHAnsi" w:cstheme="minorHAnsi"/>
          <w:sz w:val="24"/>
          <w:szCs w:val="24"/>
        </w:rPr>
        <w:t xml:space="preserve">Проверка на функциите на ТУМГ за реализиране на подход за използване на повече от една ТУМГ в една </w:t>
      </w:r>
      <w:r w:rsidRPr="00F35816">
        <w:rPr>
          <w:sz w:val="24"/>
          <w:szCs w:val="24"/>
        </w:rPr>
        <w:t>избирателна секция</w:t>
      </w:r>
      <w:r w:rsidR="00513F0A">
        <w:rPr>
          <w:rFonts w:asciiTheme="minorHAnsi" w:hAnsiTheme="minorHAnsi" w:cstheme="minorHAnsi"/>
          <w:sz w:val="24"/>
          <w:szCs w:val="24"/>
        </w:rPr>
        <w:t>;</w:t>
      </w:r>
    </w:p>
    <w:p w14:paraId="419748C5" w14:textId="7658DDE0" w:rsidR="003C3209" w:rsidRPr="00D661E2" w:rsidRDefault="003C3209" w:rsidP="004974A5">
      <w:pPr>
        <w:numPr>
          <w:ilvl w:val="0"/>
          <w:numId w:val="4"/>
        </w:numPr>
        <w:tabs>
          <w:tab w:val="num" w:pos="72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61E2">
        <w:rPr>
          <w:rFonts w:asciiTheme="minorHAnsi" w:hAnsiTheme="minorHAnsi" w:cstheme="minorHAnsi"/>
          <w:sz w:val="24"/>
          <w:szCs w:val="24"/>
        </w:rPr>
        <w:t>Проверка на функциите на ТУМГ при едновременно</w:t>
      </w:r>
      <w:r w:rsidR="00C51BAB" w:rsidRPr="00D661E2">
        <w:rPr>
          <w:rFonts w:asciiTheme="minorHAnsi" w:hAnsiTheme="minorHAnsi" w:cstheme="minorHAnsi"/>
          <w:sz w:val="24"/>
          <w:szCs w:val="24"/>
        </w:rPr>
        <w:t xml:space="preserve"> </w:t>
      </w:r>
      <w:r w:rsidRPr="00D661E2">
        <w:rPr>
          <w:rFonts w:asciiTheme="minorHAnsi" w:hAnsiTheme="minorHAnsi" w:cstheme="minorHAnsi"/>
          <w:sz w:val="24"/>
          <w:szCs w:val="24"/>
        </w:rPr>
        <w:t>произвеждане на повече от един вид избор (</w:t>
      </w:r>
      <w:r w:rsidR="00A75FDE" w:rsidRPr="00D661E2">
        <w:rPr>
          <w:rFonts w:asciiTheme="minorHAnsi" w:hAnsiTheme="minorHAnsi" w:cstheme="minorHAnsi"/>
          <w:sz w:val="24"/>
          <w:szCs w:val="24"/>
        </w:rPr>
        <w:t>например</w:t>
      </w:r>
      <w:r w:rsidRPr="00D661E2">
        <w:rPr>
          <w:rFonts w:asciiTheme="minorHAnsi" w:hAnsiTheme="minorHAnsi" w:cstheme="minorHAnsi"/>
          <w:sz w:val="24"/>
          <w:szCs w:val="24"/>
        </w:rPr>
        <w:t xml:space="preserve"> 2 в 1);</w:t>
      </w:r>
    </w:p>
    <w:p w14:paraId="7178FB1A" w14:textId="16617760" w:rsidR="0007520B" w:rsidRDefault="0007520B" w:rsidP="0007520B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20B">
        <w:rPr>
          <w:rFonts w:asciiTheme="minorHAnsi" w:hAnsiTheme="minorHAnsi" w:cstheme="minorHAnsi"/>
          <w:sz w:val="24"/>
          <w:szCs w:val="24"/>
        </w:rPr>
        <w:t>Тестване на модула за валидация и обобщаване на контролни записки, както и проверка на съдържанието на ЗТУ и основната памет  на дефектирала машина – чрез устройството за четена на 2D бар кода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5A7EC699" w14:textId="458408FD" w:rsidR="0007520B" w:rsidRDefault="00974523" w:rsidP="00974523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4523">
        <w:rPr>
          <w:rFonts w:asciiTheme="minorHAnsi" w:hAnsiTheme="minorHAnsi" w:cstheme="minorHAnsi"/>
          <w:sz w:val="24"/>
          <w:szCs w:val="24"/>
        </w:rPr>
        <w:t>Технология на  съхраняване и пренос към ЦИК на информацията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74523">
        <w:rPr>
          <w:rFonts w:asciiTheme="minorHAnsi" w:hAnsiTheme="minorHAnsi" w:cstheme="minorHAnsi"/>
          <w:sz w:val="24"/>
          <w:szCs w:val="24"/>
        </w:rPr>
        <w:t xml:space="preserve"> натрупана  в ЗТУ, при необходимост от провеждане на втори тур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559B69C" w14:textId="5DFE7E31" w:rsidR="00C96E33" w:rsidRDefault="00C96E33" w:rsidP="00C96E33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6E33">
        <w:rPr>
          <w:rFonts w:asciiTheme="minorHAnsi" w:hAnsiTheme="minorHAnsi" w:cstheme="minorHAnsi"/>
          <w:sz w:val="24"/>
          <w:szCs w:val="24"/>
        </w:rPr>
        <w:t>Подготовка на ТУМГ за нови избори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073C10AB" w14:textId="437690F6" w:rsidR="00C96E33" w:rsidRPr="00F35816" w:rsidRDefault="00B93F3F" w:rsidP="00B93F3F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F3F">
        <w:rPr>
          <w:rFonts w:asciiTheme="minorHAnsi" w:hAnsiTheme="minorHAnsi" w:cstheme="minorHAnsi"/>
          <w:sz w:val="24"/>
          <w:szCs w:val="24"/>
        </w:rPr>
        <w:t>Подготовка на ТУМГ за избори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B93F3F">
        <w:rPr>
          <w:rFonts w:asciiTheme="minorHAnsi" w:hAnsiTheme="minorHAnsi" w:cstheme="minorHAnsi"/>
          <w:sz w:val="24"/>
          <w:szCs w:val="24"/>
        </w:rPr>
        <w:t xml:space="preserve"> провеждани в чужбина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486A67F" w14:textId="4B9093F7" w:rsidR="00D4364F" w:rsidRPr="00F35816" w:rsidRDefault="00D4364F" w:rsidP="00D4364F">
      <w:pPr>
        <w:spacing w:after="120" w:line="240" w:lineRule="auto"/>
        <w:jc w:val="both"/>
        <w:rPr>
          <w:sz w:val="24"/>
          <w:szCs w:val="24"/>
        </w:rPr>
      </w:pPr>
      <w:r w:rsidRPr="00F35816">
        <w:rPr>
          <w:sz w:val="24"/>
          <w:szCs w:val="24"/>
        </w:rPr>
        <w:t xml:space="preserve">Процедурата за проверка на съответствието за функционалност, която доставения тип ТУМГ осигурява като технологичен процес  и изискванията, регламентирани в Изборния кодекс и </w:t>
      </w:r>
      <w:r w:rsidRPr="00F35816">
        <w:rPr>
          <w:bCs/>
          <w:sz w:val="24"/>
          <w:szCs w:val="24"/>
        </w:rPr>
        <w:t>техническите изисквания към апаратната и програмната част на техническите устройства за машинно гласуване, които са определени от Централната избирателна комисия</w:t>
      </w:r>
      <w:r w:rsidRPr="00F35816">
        <w:rPr>
          <w:sz w:val="24"/>
          <w:szCs w:val="24"/>
        </w:rPr>
        <w:t>,  е описана в Приложение № 3.</w:t>
      </w:r>
    </w:p>
    <w:p w14:paraId="364EF2B2" w14:textId="77777777" w:rsidR="004974A5" w:rsidRPr="001C4A98" w:rsidRDefault="004974A5" w:rsidP="00D4364F">
      <w:pPr>
        <w:spacing w:after="120" w:line="240" w:lineRule="auto"/>
        <w:jc w:val="both"/>
        <w:rPr>
          <w:szCs w:val="24"/>
        </w:rPr>
      </w:pPr>
    </w:p>
    <w:p w14:paraId="015508EC" w14:textId="7788E6DE" w:rsidR="0040468C" w:rsidRPr="001C4A98" w:rsidRDefault="00EE7F2D" w:rsidP="00D4364F">
      <w:pPr>
        <w:spacing w:after="120" w:line="240" w:lineRule="auto"/>
        <w:ind w:left="708"/>
        <w:jc w:val="both"/>
        <w:rPr>
          <w:rFonts w:cs="Calibri"/>
          <w:sz w:val="24"/>
          <w:szCs w:val="24"/>
        </w:rPr>
      </w:pPr>
      <w:r w:rsidRPr="001C4A98">
        <w:rPr>
          <w:b/>
          <w:sz w:val="24"/>
          <w:szCs w:val="24"/>
        </w:rPr>
        <w:t>6</w:t>
      </w:r>
      <w:r w:rsidR="00B96EE6" w:rsidRPr="001C4A98">
        <w:rPr>
          <w:b/>
          <w:sz w:val="24"/>
          <w:szCs w:val="24"/>
        </w:rPr>
        <w:t>.4.</w:t>
      </w:r>
      <w:r w:rsidR="0040468C" w:rsidRPr="001C4A98">
        <w:rPr>
          <w:rFonts w:cs="Calibri"/>
          <w:sz w:val="24"/>
          <w:szCs w:val="24"/>
        </w:rPr>
        <w:t xml:space="preserve"> </w:t>
      </w:r>
      <w:r w:rsidR="0040468C" w:rsidRPr="001C4A98">
        <w:rPr>
          <w:rFonts w:cs="Calibri"/>
          <w:b/>
          <w:sz w:val="24"/>
          <w:szCs w:val="24"/>
        </w:rPr>
        <w:t xml:space="preserve">Проверка </w:t>
      </w:r>
      <w:r w:rsidR="00513F0A">
        <w:rPr>
          <w:rFonts w:cs="Calibri"/>
          <w:b/>
          <w:sz w:val="24"/>
          <w:szCs w:val="24"/>
        </w:rPr>
        <w:t xml:space="preserve">на </w:t>
      </w:r>
      <w:r w:rsidR="006C551B" w:rsidRPr="001C4A98">
        <w:rPr>
          <w:rFonts w:cs="Calibri"/>
          <w:b/>
          <w:sz w:val="24"/>
          <w:szCs w:val="24"/>
        </w:rPr>
        <w:t xml:space="preserve">сигурността на информацията, </w:t>
      </w:r>
      <w:r w:rsidR="00BA226A" w:rsidRPr="001C4A98">
        <w:rPr>
          <w:rFonts w:cs="Calibri"/>
          <w:b/>
          <w:sz w:val="24"/>
          <w:szCs w:val="24"/>
        </w:rPr>
        <w:t xml:space="preserve">която се </w:t>
      </w:r>
      <w:r w:rsidR="006C551B" w:rsidRPr="001C4A98">
        <w:rPr>
          <w:rFonts w:cs="Calibri"/>
          <w:b/>
          <w:sz w:val="24"/>
          <w:szCs w:val="24"/>
        </w:rPr>
        <w:t xml:space="preserve">въвежда, обработва, съхранява и извежда от </w:t>
      </w:r>
      <w:r w:rsidR="00D6251F" w:rsidRPr="001C4A98">
        <w:rPr>
          <w:rFonts w:cs="Calibri"/>
          <w:b/>
          <w:sz w:val="24"/>
          <w:szCs w:val="24"/>
        </w:rPr>
        <w:t xml:space="preserve"> доставения тип </w:t>
      </w:r>
      <w:r w:rsidR="0040468C" w:rsidRPr="001C4A98">
        <w:rPr>
          <w:rFonts w:cs="Calibri"/>
          <w:b/>
          <w:sz w:val="24"/>
          <w:szCs w:val="24"/>
        </w:rPr>
        <w:t>ТУМГ</w:t>
      </w:r>
    </w:p>
    <w:p w14:paraId="3643E86D" w14:textId="77777777" w:rsidR="0040468C" w:rsidRPr="001C4A98" w:rsidRDefault="0040468C" w:rsidP="0040468C">
      <w:pPr>
        <w:spacing w:after="0" w:line="240" w:lineRule="auto"/>
        <w:rPr>
          <w:rFonts w:cs="Calibri"/>
          <w:sz w:val="24"/>
          <w:szCs w:val="24"/>
        </w:rPr>
      </w:pPr>
    </w:p>
    <w:p w14:paraId="66387B42" w14:textId="5D78FFD3" w:rsidR="004C4312" w:rsidRDefault="004C4312" w:rsidP="00A323A6">
      <w:p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lastRenderedPageBreak/>
        <w:t>Проверката на сигурността включва физическа проверка и проверка на софтуера. Проверката включва, но не се ограничава до следните компоненти:</w:t>
      </w:r>
    </w:p>
    <w:p w14:paraId="1D1E5629" w14:textId="3C690BCD" w:rsidR="00587C8D" w:rsidRDefault="00587C8D" w:rsidP="00855746">
      <w:pPr>
        <w:spacing w:after="120" w:line="240" w:lineRule="auto"/>
        <w:ind w:firstLine="708"/>
        <w:jc w:val="both"/>
        <w:rPr>
          <w:b/>
          <w:sz w:val="24"/>
          <w:szCs w:val="24"/>
        </w:rPr>
      </w:pPr>
      <w:r w:rsidRPr="00D94E20">
        <w:rPr>
          <w:b/>
          <w:sz w:val="24"/>
          <w:szCs w:val="24"/>
        </w:rPr>
        <w:t>Проверка на конфигурацията на операционната система</w:t>
      </w:r>
    </w:p>
    <w:p w14:paraId="30BFADB9" w14:textId="5F23ADBF" w:rsidR="00325CC6" w:rsidRPr="00325CC6" w:rsidRDefault="00325CC6" w:rsidP="00DD6021">
      <w:pPr>
        <w:spacing w:after="120" w:line="240" w:lineRule="auto"/>
        <w:ind w:firstLine="993"/>
        <w:jc w:val="both"/>
        <w:rPr>
          <w:sz w:val="24"/>
          <w:szCs w:val="24"/>
        </w:rPr>
      </w:pPr>
      <w:r w:rsidRPr="00325CC6">
        <w:rPr>
          <w:sz w:val="24"/>
          <w:szCs w:val="24"/>
        </w:rPr>
        <w:t>•</w:t>
      </w:r>
      <w:r w:rsidRPr="00325CC6">
        <w:rPr>
          <w:sz w:val="24"/>
          <w:szCs w:val="24"/>
        </w:rPr>
        <w:tab/>
        <w:t>Проверка дали са актуализирани  софтуерните компоненти</w:t>
      </w:r>
      <w:r w:rsidR="001D3D0D">
        <w:rPr>
          <w:sz w:val="24"/>
          <w:szCs w:val="24"/>
        </w:rPr>
        <w:t>;</w:t>
      </w:r>
    </w:p>
    <w:p w14:paraId="44786BBF" w14:textId="76CD6029" w:rsidR="00325CC6" w:rsidRPr="00325CC6" w:rsidRDefault="00325CC6" w:rsidP="00DD6021">
      <w:pPr>
        <w:spacing w:after="120" w:line="240" w:lineRule="auto"/>
        <w:ind w:firstLine="993"/>
        <w:jc w:val="both"/>
        <w:rPr>
          <w:sz w:val="24"/>
          <w:szCs w:val="24"/>
        </w:rPr>
      </w:pPr>
      <w:r w:rsidRPr="00325CC6">
        <w:rPr>
          <w:sz w:val="24"/>
          <w:szCs w:val="24"/>
        </w:rPr>
        <w:t>•</w:t>
      </w:r>
      <w:r w:rsidRPr="00325CC6">
        <w:rPr>
          <w:sz w:val="24"/>
          <w:szCs w:val="24"/>
        </w:rPr>
        <w:tab/>
        <w:t>Проверка за това дали са деактивирани ненужни процеси в операционната система на ТУМГ</w:t>
      </w:r>
      <w:r w:rsidR="001D3D0D">
        <w:rPr>
          <w:sz w:val="24"/>
          <w:szCs w:val="24"/>
        </w:rPr>
        <w:t>;</w:t>
      </w:r>
    </w:p>
    <w:p w14:paraId="5ACA5A8C" w14:textId="3FEEF4B0" w:rsidR="00325CC6" w:rsidRPr="00325CC6" w:rsidRDefault="00325CC6" w:rsidP="00DD6021">
      <w:pPr>
        <w:spacing w:after="120" w:line="240" w:lineRule="auto"/>
        <w:ind w:firstLine="993"/>
        <w:jc w:val="both"/>
        <w:rPr>
          <w:sz w:val="24"/>
          <w:szCs w:val="24"/>
        </w:rPr>
      </w:pPr>
      <w:r w:rsidRPr="00325CC6">
        <w:rPr>
          <w:sz w:val="24"/>
          <w:szCs w:val="24"/>
        </w:rPr>
        <w:t>•</w:t>
      </w:r>
      <w:r w:rsidRPr="00325CC6">
        <w:rPr>
          <w:sz w:val="24"/>
          <w:szCs w:val="24"/>
        </w:rPr>
        <w:tab/>
        <w:t xml:space="preserve">Проверка дали са премахнати ненужни </w:t>
      </w:r>
      <w:proofErr w:type="spellStart"/>
      <w:r w:rsidRPr="00325CC6">
        <w:rPr>
          <w:sz w:val="24"/>
          <w:szCs w:val="24"/>
        </w:rPr>
        <w:t>firmware</w:t>
      </w:r>
      <w:proofErr w:type="spellEnd"/>
      <w:r w:rsidRPr="00325CC6">
        <w:rPr>
          <w:sz w:val="24"/>
          <w:szCs w:val="24"/>
        </w:rPr>
        <w:t xml:space="preserve"> пакети и драйвери в ТУМГ</w:t>
      </w:r>
      <w:r w:rsidR="001D3D0D">
        <w:rPr>
          <w:sz w:val="24"/>
          <w:szCs w:val="24"/>
        </w:rPr>
        <w:t>;</w:t>
      </w:r>
    </w:p>
    <w:p w14:paraId="200096BC" w14:textId="4D2DDE13" w:rsidR="00325CC6" w:rsidRPr="00325CC6" w:rsidRDefault="00325CC6" w:rsidP="00DD6021">
      <w:pPr>
        <w:spacing w:after="120" w:line="240" w:lineRule="auto"/>
        <w:ind w:firstLine="993"/>
        <w:jc w:val="both"/>
        <w:rPr>
          <w:sz w:val="24"/>
          <w:szCs w:val="24"/>
        </w:rPr>
      </w:pPr>
      <w:r w:rsidRPr="00325CC6">
        <w:rPr>
          <w:sz w:val="24"/>
          <w:szCs w:val="24"/>
        </w:rPr>
        <w:t>•</w:t>
      </w:r>
      <w:r w:rsidRPr="00325CC6">
        <w:rPr>
          <w:sz w:val="24"/>
          <w:szCs w:val="24"/>
        </w:rPr>
        <w:tab/>
        <w:t>Проверка за това дали са деактивирани ненужни процеси</w:t>
      </w:r>
      <w:r w:rsidR="001D3D0D">
        <w:rPr>
          <w:sz w:val="24"/>
          <w:szCs w:val="24"/>
        </w:rPr>
        <w:t>;</w:t>
      </w:r>
    </w:p>
    <w:p w14:paraId="51A37706" w14:textId="73AD6C72" w:rsidR="00325CC6" w:rsidRPr="00325CC6" w:rsidRDefault="00325CC6" w:rsidP="00DD6021">
      <w:pPr>
        <w:spacing w:after="120" w:line="240" w:lineRule="auto"/>
        <w:ind w:firstLine="993"/>
        <w:jc w:val="both"/>
        <w:rPr>
          <w:sz w:val="24"/>
          <w:szCs w:val="24"/>
        </w:rPr>
      </w:pPr>
      <w:r w:rsidRPr="00325CC6">
        <w:rPr>
          <w:sz w:val="24"/>
          <w:szCs w:val="24"/>
        </w:rPr>
        <w:t>•</w:t>
      </w:r>
      <w:r w:rsidRPr="00325CC6">
        <w:rPr>
          <w:sz w:val="24"/>
          <w:szCs w:val="24"/>
        </w:rPr>
        <w:tab/>
        <w:t>Проверка за уязвимости в операционната система</w:t>
      </w:r>
      <w:r w:rsidR="001D3D0D">
        <w:rPr>
          <w:sz w:val="24"/>
          <w:szCs w:val="24"/>
        </w:rPr>
        <w:t>;</w:t>
      </w:r>
    </w:p>
    <w:p w14:paraId="38E427FC" w14:textId="5F2640AE" w:rsidR="004B24A4" w:rsidRPr="004B24A4" w:rsidRDefault="00325CC6" w:rsidP="00DD6021">
      <w:pPr>
        <w:spacing w:after="120" w:line="240" w:lineRule="auto"/>
        <w:ind w:firstLine="993"/>
        <w:jc w:val="both"/>
        <w:rPr>
          <w:sz w:val="24"/>
          <w:szCs w:val="24"/>
        </w:rPr>
      </w:pPr>
      <w:r w:rsidRPr="00325CC6">
        <w:rPr>
          <w:sz w:val="24"/>
          <w:szCs w:val="24"/>
        </w:rPr>
        <w:t>•</w:t>
      </w:r>
      <w:r w:rsidRPr="00325CC6">
        <w:rPr>
          <w:sz w:val="24"/>
          <w:szCs w:val="24"/>
        </w:rPr>
        <w:tab/>
        <w:t>Оценка на нивото на въздействие на евентуално открити уязвимости в операционната система</w:t>
      </w:r>
      <w:r w:rsidR="001D3D0D">
        <w:rPr>
          <w:sz w:val="24"/>
          <w:szCs w:val="24"/>
        </w:rPr>
        <w:t>.</w:t>
      </w:r>
    </w:p>
    <w:p w14:paraId="2CA78F37" w14:textId="5AB0F833" w:rsidR="004B24A4" w:rsidRPr="00D94E20" w:rsidRDefault="004B24A4" w:rsidP="00855746">
      <w:pPr>
        <w:spacing w:after="120" w:line="240" w:lineRule="auto"/>
        <w:ind w:firstLine="708"/>
        <w:jc w:val="both"/>
        <w:rPr>
          <w:b/>
          <w:sz w:val="24"/>
          <w:szCs w:val="24"/>
        </w:rPr>
      </w:pPr>
      <w:r w:rsidRPr="00D94E20">
        <w:rPr>
          <w:b/>
          <w:sz w:val="24"/>
          <w:szCs w:val="24"/>
        </w:rPr>
        <w:t xml:space="preserve">Проверка на софтуерната реализация   </w:t>
      </w:r>
    </w:p>
    <w:p w14:paraId="00131968" w14:textId="598C495F" w:rsidR="004B24A4" w:rsidRPr="001C4A98" w:rsidRDefault="004B24A4" w:rsidP="00DD6021">
      <w:pPr>
        <w:numPr>
          <w:ilvl w:val="0"/>
          <w:numId w:val="4"/>
        </w:numPr>
        <w:spacing w:after="120" w:line="240" w:lineRule="auto"/>
        <w:ind w:hanging="435"/>
        <w:jc w:val="both"/>
        <w:rPr>
          <w:sz w:val="24"/>
          <w:szCs w:val="24"/>
        </w:rPr>
      </w:pPr>
      <w:r w:rsidRPr="004B24A4">
        <w:rPr>
          <w:sz w:val="24"/>
          <w:szCs w:val="24"/>
        </w:rPr>
        <w:t>Проверка за уязвимости  в Приложния софтуер</w:t>
      </w:r>
      <w:r w:rsidR="001D3D0D">
        <w:rPr>
          <w:sz w:val="24"/>
          <w:szCs w:val="24"/>
        </w:rPr>
        <w:t>;</w:t>
      </w:r>
    </w:p>
    <w:p w14:paraId="1FC35ED7" w14:textId="75E7AC82" w:rsidR="004B24A4" w:rsidRPr="004B24A4" w:rsidRDefault="004B24A4" w:rsidP="00DD6021">
      <w:pPr>
        <w:numPr>
          <w:ilvl w:val="0"/>
          <w:numId w:val="4"/>
        </w:numPr>
        <w:spacing w:after="120" w:line="240" w:lineRule="auto"/>
        <w:ind w:hanging="435"/>
        <w:jc w:val="both"/>
        <w:rPr>
          <w:sz w:val="24"/>
          <w:szCs w:val="24"/>
        </w:rPr>
      </w:pPr>
      <w:r w:rsidRPr="004B24A4">
        <w:rPr>
          <w:sz w:val="24"/>
          <w:szCs w:val="24"/>
        </w:rPr>
        <w:t>Оценка на нивото на въздействие на евентуално открити уязвимости в Приложния софтуер</w:t>
      </w:r>
      <w:r w:rsidR="001D3D0D">
        <w:rPr>
          <w:sz w:val="24"/>
          <w:szCs w:val="24"/>
        </w:rPr>
        <w:t>;</w:t>
      </w:r>
    </w:p>
    <w:p w14:paraId="251A182D" w14:textId="53D1DFC0" w:rsidR="004B24A4" w:rsidRPr="004B24A4" w:rsidRDefault="004B24A4" w:rsidP="00DD6021">
      <w:pPr>
        <w:numPr>
          <w:ilvl w:val="0"/>
          <w:numId w:val="4"/>
        </w:numPr>
        <w:spacing w:after="120" w:line="240" w:lineRule="auto"/>
        <w:ind w:hanging="435"/>
        <w:jc w:val="both"/>
        <w:rPr>
          <w:sz w:val="24"/>
          <w:szCs w:val="24"/>
        </w:rPr>
      </w:pPr>
      <w:r w:rsidRPr="004B24A4">
        <w:rPr>
          <w:sz w:val="24"/>
          <w:szCs w:val="24"/>
        </w:rPr>
        <w:t>Проверка за зависимости в изходния код</w:t>
      </w:r>
      <w:r w:rsidR="001D3D0D">
        <w:rPr>
          <w:sz w:val="24"/>
          <w:szCs w:val="24"/>
        </w:rPr>
        <w:t>;</w:t>
      </w:r>
    </w:p>
    <w:p w14:paraId="751E476B" w14:textId="3581B193" w:rsidR="004B24A4" w:rsidRPr="004B24A4" w:rsidRDefault="00855746" w:rsidP="00DD6021">
      <w:pPr>
        <w:numPr>
          <w:ilvl w:val="0"/>
          <w:numId w:val="4"/>
        </w:numPr>
        <w:spacing w:after="120" w:line="240" w:lineRule="auto"/>
        <w:ind w:hanging="4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за уязвимости  в </w:t>
      </w:r>
      <w:proofErr w:type="spellStart"/>
      <w:r>
        <w:rPr>
          <w:sz w:val="24"/>
          <w:szCs w:val="24"/>
        </w:rPr>
        <w:t>п</w:t>
      </w:r>
      <w:r w:rsidR="004B24A4" w:rsidRPr="004B24A4">
        <w:rPr>
          <w:sz w:val="24"/>
          <w:szCs w:val="24"/>
        </w:rPr>
        <w:t>араметризиращия</w:t>
      </w:r>
      <w:proofErr w:type="spellEnd"/>
      <w:r w:rsidR="004B24A4" w:rsidRPr="004B24A4">
        <w:rPr>
          <w:sz w:val="24"/>
          <w:szCs w:val="24"/>
        </w:rPr>
        <w:t xml:space="preserve"> софтуер</w:t>
      </w:r>
      <w:r w:rsidR="001D3D0D">
        <w:rPr>
          <w:sz w:val="24"/>
          <w:szCs w:val="24"/>
        </w:rPr>
        <w:t>;</w:t>
      </w:r>
    </w:p>
    <w:p w14:paraId="25A6C23E" w14:textId="4B8632A9" w:rsidR="004B24A4" w:rsidRDefault="004B24A4" w:rsidP="00DD6021">
      <w:pPr>
        <w:numPr>
          <w:ilvl w:val="0"/>
          <w:numId w:val="4"/>
        </w:numPr>
        <w:spacing w:after="120" w:line="240" w:lineRule="auto"/>
        <w:ind w:hanging="435"/>
        <w:jc w:val="both"/>
        <w:rPr>
          <w:sz w:val="24"/>
          <w:szCs w:val="24"/>
        </w:rPr>
      </w:pPr>
      <w:r w:rsidRPr="004B24A4">
        <w:rPr>
          <w:sz w:val="24"/>
          <w:szCs w:val="24"/>
        </w:rPr>
        <w:t>Оценка на нивото на въздействие на е</w:t>
      </w:r>
      <w:r w:rsidR="00855746">
        <w:rPr>
          <w:sz w:val="24"/>
          <w:szCs w:val="24"/>
        </w:rPr>
        <w:t xml:space="preserve">вентуално открити уязвимости в </w:t>
      </w:r>
      <w:proofErr w:type="spellStart"/>
      <w:r w:rsidR="00855746">
        <w:rPr>
          <w:sz w:val="24"/>
          <w:szCs w:val="24"/>
        </w:rPr>
        <w:t>п</w:t>
      </w:r>
      <w:r w:rsidRPr="004B24A4">
        <w:rPr>
          <w:sz w:val="24"/>
          <w:szCs w:val="24"/>
        </w:rPr>
        <w:t>араметризиращия</w:t>
      </w:r>
      <w:proofErr w:type="spellEnd"/>
      <w:r w:rsidRPr="004B24A4">
        <w:rPr>
          <w:sz w:val="24"/>
          <w:szCs w:val="24"/>
        </w:rPr>
        <w:t xml:space="preserve"> софтуер</w:t>
      </w:r>
      <w:r w:rsidR="001D3D0D">
        <w:rPr>
          <w:sz w:val="24"/>
          <w:szCs w:val="24"/>
        </w:rPr>
        <w:t>;</w:t>
      </w:r>
    </w:p>
    <w:p w14:paraId="0DFD834A" w14:textId="6CA3F18C" w:rsidR="001F53CC" w:rsidRPr="008F120E" w:rsidRDefault="001F53CC" w:rsidP="00DD6021">
      <w:pPr>
        <w:numPr>
          <w:ilvl w:val="0"/>
          <w:numId w:val="4"/>
        </w:numPr>
        <w:spacing w:after="120" w:line="240" w:lineRule="auto"/>
        <w:ind w:hanging="435"/>
        <w:jc w:val="both"/>
        <w:rPr>
          <w:sz w:val="24"/>
          <w:szCs w:val="24"/>
        </w:rPr>
      </w:pPr>
      <w:r w:rsidRPr="008F120E">
        <w:rPr>
          <w:sz w:val="24"/>
          <w:szCs w:val="24"/>
        </w:rPr>
        <w:t>Проверка на базова/и СА верига/и, използвана/и при конкретните избори;</w:t>
      </w:r>
    </w:p>
    <w:p w14:paraId="09768D6F" w14:textId="40EB21A4" w:rsidR="004B24A4" w:rsidRPr="004B24A4" w:rsidRDefault="004B24A4" w:rsidP="00DD6021">
      <w:pPr>
        <w:numPr>
          <w:ilvl w:val="0"/>
          <w:numId w:val="4"/>
        </w:numPr>
        <w:spacing w:after="120" w:line="240" w:lineRule="auto"/>
        <w:ind w:hanging="435"/>
        <w:jc w:val="both"/>
        <w:rPr>
          <w:sz w:val="24"/>
          <w:szCs w:val="24"/>
        </w:rPr>
      </w:pPr>
      <w:r w:rsidRPr="004B24A4">
        <w:rPr>
          <w:sz w:val="24"/>
          <w:szCs w:val="24"/>
        </w:rPr>
        <w:t>Проверка за възможност за разкриване на вота</w:t>
      </w:r>
      <w:r>
        <w:rPr>
          <w:sz w:val="24"/>
          <w:szCs w:val="24"/>
        </w:rPr>
        <w:t>.</w:t>
      </w:r>
    </w:p>
    <w:p w14:paraId="292762A9" w14:textId="0EB412EB" w:rsidR="004C4312" w:rsidRPr="001C4A98" w:rsidRDefault="004C4312" w:rsidP="009B0D97">
      <w:pPr>
        <w:spacing w:after="120" w:line="240" w:lineRule="auto"/>
        <w:jc w:val="both"/>
        <w:rPr>
          <w:sz w:val="24"/>
          <w:szCs w:val="24"/>
        </w:rPr>
      </w:pPr>
      <w:r w:rsidRPr="001C4A98">
        <w:rPr>
          <w:sz w:val="24"/>
          <w:szCs w:val="24"/>
        </w:rPr>
        <w:t xml:space="preserve">Процедурата за проверка сигурността </w:t>
      </w:r>
      <w:r w:rsidR="006C551B" w:rsidRPr="001C4A98">
        <w:rPr>
          <w:sz w:val="24"/>
          <w:szCs w:val="24"/>
        </w:rPr>
        <w:t>на информацията</w:t>
      </w:r>
      <w:r w:rsidR="00A323A6">
        <w:rPr>
          <w:sz w:val="24"/>
          <w:szCs w:val="24"/>
        </w:rPr>
        <w:t>,</w:t>
      </w:r>
      <w:r w:rsidR="006C551B" w:rsidRPr="001C4A98">
        <w:rPr>
          <w:sz w:val="24"/>
          <w:szCs w:val="24"/>
        </w:rPr>
        <w:t xml:space="preserve"> </w:t>
      </w:r>
      <w:r w:rsidRPr="001C4A98">
        <w:rPr>
          <w:sz w:val="24"/>
          <w:szCs w:val="24"/>
        </w:rPr>
        <w:t xml:space="preserve">на доставения тип ТУМГ е описана в Приложение № </w:t>
      </w:r>
      <w:r w:rsidR="00C54ADF" w:rsidRPr="001C4A98">
        <w:rPr>
          <w:sz w:val="24"/>
          <w:szCs w:val="24"/>
        </w:rPr>
        <w:t>4</w:t>
      </w:r>
      <w:r w:rsidR="006C551B" w:rsidRPr="001C4A98">
        <w:rPr>
          <w:sz w:val="24"/>
          <w:szCs w:val="24"/>
        </w:rPr>
        <w:t xml:space="preserve"> на настоящата Методика</w:t>
      </w:r>
      <w:r w:rsidR="008967E7" w:rsidRPr="001C4A98">
        <w:rPr>
          <w:sz w:val="24"/>
          <w:szCs w:val="24"/>
        </w:rPr>
        <w:t xml:space="preserve">. </w:t>
      </w:r>
    </w:p>
    <w:p w14:paraId="5A8FA70A" w14:textId="217FBA79" w:rsidR="00D00ABA" w:rsidRPr="001C4A98" w:rsidRDefault="00A82626" w:rsidP="008E6405">
      <w:pPr>
        <w:pStyle w:val="ListParagraph"/>
        <w:numPr>
          <w:ilvl w:val="0"/>
          <w:numId w:val="13"/>
        </w:numPr>
        <w:rPr>
          <w:b/>
          <w:sz w:val="26"/>
          <w:szCs w:val="26"/>
        </w:rPr>
      </w:pPr>
      <w:r w:rsidRPr="001C4A98">
        <w:rPr>
          <w:b/>
          <w:bCs/>
          <w:sz w:val="26"/>
          <w:szCs w:val="26"/>
        </w:rPr>
        <w:t>Процес на у</w:t>
      </w:r>
      <w:r w:rsidRPr="001C4A98">
        <w:rPr>
          <w:b/>
          <w:sz w:val="26"/>
          <w:szCs w:val="26"/>
        </w:rPr>
        <w:t>достоверяване на съответствието</w:t>
      </w:r>
    </w:p>
    <w:p w14:paraId="40A37A27" w14:textId="33834050" w:rsidR="00A82626" w:rsidRPr="001C4A98" w:rsidRDefault="00EE7F2D" w:rsidP="00D00ABA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7</w:t>
      </w:r>
      <w:r w:rsidR="00491409" w:rsidRPr="001C4A98">
        <w:rPr>
          <w:b/>
          <w:bCs/>
          <w:sz w:val="24"/>
          <w:szCs w:val="24"/>
        </w:rPr>
        <w:t>.1.</w:t>
      </w:r>
      <w:r w:rsidR="00491409" w:rsidRPr="001C4A98">
        <w:rPr>
          <w:bCs/>
          <w:sz w:val="24"/>
          <w:szCs w:val="24"/>
        </w:rPr>
        <w:t xml:space="preserve"> </w:t>
      </w:r>
      <w:r w:rsidR="00D00ABA" w:rsidRPr="001C4A98">
        <w:rPr>
          <w:bCs/>
          <w:sz w:val="24"/>
          <w:szCs w:val="24"/>
        </w:rPr>
        <w:t>Работата на екипи</w:t>
      </w:r>
      <w:r w:rsidR="00D3084A" w:rsidRPr="001C4A98">
        <w:rPr>
          <w:bCs/>
          <w:sz w:val="24"/>
          <w:szCs w:val="24"/>
        </w:rPr>
        <w:t>те</w:t>
      </w:r>
      <w:r w:rsidR="00D00ABA" w:rsidRPr="001C4A98">
        <w:rPr>
          <w:bCs/>
          <w:sz w:val="24"/>
          <w:szCs w:val="24"/>
        </w:rPr>
        <w:t xml:space="preserve"> за оцен</w:t>
      </w:r>
      <w:r w:rsidR="00A17233" w:rsidRPr="001C4A98">
        <w:rPr>
          <w:bCs/>
          <w:sz w:val="24"/>
          <w:szCs w:val="24"/>
        </w:rPr>
        <w:t>яване</w:t>
      </w:r>
      <w:r w:rsidR="00D00ABA" w:rsidRPr="001C4A98">
        <w:rPr>
          <w:bCs/>
          <w:sz w:val="24"/>
          <w:szCs w:val="24"/>
        </w:rPr>
        <w:t xml:space="preserve"> на съответствието завършва с изготвяне на </w:t>
      </w:r>
      <w:r w:rsidR="00D72ED4" w:rsidRPr="001C4A98">
        <w:rPr>
          <w:bCs/>
          <w:sz w:val="24"/>
          <w:szCs w:val="24"/>
        </w:rPr>
        <w:t>Протокол</w:t>
      </w:r>
      <w:r w:rsidR="004C4312" w:rsidRPr="001C4A98">
        <w:rPr>
          <w:bCs/>
          <w:sz w:val="24"/>
          <w:szCs w:val="24"/>
        </w:rPr>
        <w:t>и</w:t>
      </w:r>
      <w:r w:rsidR="00D72ED4" w:rsidRPr="001C4A98">
        <w:rPr>
          <w:bCs/>
          <w:sz w:val="24"/>
          <w:szCs w:val="24"/>
        </w:rPr>
        <w:t xml:space="preserve"> за </w:t>
      </w:r>
      <w:r w:rsidR="006C551B" w:rsidRPr="001C4A98">
        <w:rPr>
          <w:bCs/>
          <w:sz w:val="24"/>
          <w:szCs w:val="24"/>
        </w:rPr>
        <w:t xml:space="preserve">оценяване на </w:t>
      </w:r>
      <w:r w:rsidR="00D72ED4" w:rsidRPr="001C4A98">
        <w:rPr>
          <w:bCs/>
          <w:sz w:val="24"/>
          <w:szCs w:val="24"/>
        </w:rPr>
        <w:t>съответствие</w:t>
      </w:r>
      <w:r w:rsidR="006C551B" w:rsidRPr="001C4A98">
        <w:rPr>
          <w:bCs/>
          <w:sz w:val="24"/>
          <w:szCs w:val="24"/>
        </w:rPr>
        <w:t>то</w:t>
      </w:r>
      <w:r w:rsidR="00D00ABA" w:rsidRPr="001C4A98">
        <w:rPr>
          <w:bCs/>
          <w:sz w:val="24"/>
          <w:szCs w:val="24"/>
        </w:rPr>
        <w:t xml:space="preserve">, </w:t>
      </w:r>
      <w:r w:rsidR="005F4602" w:rsidRPr="001C4A98">
        <w:rPr>
          <w:bCs/>
          <w:sz w:val="24"/>
          <w:szCs w:val="24"/>
        </w:rPr>
        <w:t>в които са по</w:t>
      </w:r>
      <w:r w:rsidR="00D3084A" w:rsidRPr="001C4A98">
        <w:rPr>
          <w:bCs/>
          <w:sz w:val="24"/>
          <w:szCs w:val="24"/>
        </w:rPr>
        <w:t>с</w:t>
      </w:r>
      <w:r w:rsidR="005F4602" w:rsidRPr="001C4A98">
        <w:rPr>
          <w:bCs/>
          <w:sz w:val="24"/>
          <w:szCs w:val="24"/>
        </w:rPr>
        <w:t xml:space="preserve">очени </w:t>
      </w:r>
      <w:r w:rsidR="00A55E00" w:rsidRPr="001C4A98">
        <w:rPr>
          <w:bCs/>
          <w:sz w:val="24"/>
          <w:szCs w:val="24"/>
        </w:rPr>
        <w:t xml:space="preserve">констатациите и </w:t>
      </w:r>
      <w:r w:rsidR="005F4602" w:rsidRPr="001C4A98">
        <w:rPr>
          <w:bCs/>
          <w:sz w:val="24"/>
          <w:szCs w:val="24"/>
        </w:rPr>
        <w:t xml:space="preserve">резултатите от извършените проверки. </w:t>
      </w:r>
    </w:p>
    <w:p w14:paraId="54081016" w14:textId="3ED28521" w:rsidR="00D00ABA" w:rsidRPr="001C4A98" w:rsidRDefault="00A82626" w:rsidP="00D00ABA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7.2</w:t>
      </w:r>
      <w:r w:rsidR="008967E7" w:rsidRPr="001C4A98">
        <w:rPr>
          <w:b/>
          <w:bCs/>
          <w:sz w:val="24"/>
          <w:szCs w:val="24"/>
        </w:rPr>
        <w:t>.</w:t>
      </w:r>
      <w:r w:rsidRPr="001C4A98">
        <w:rPr>
          <w:b/>
          <w:bCs/>
          <w:sz w:val="24"/>
          <w:szCs w:val="24"/>
        </w:rPr>
        <w:t xml:space="preserve"> </w:t>
      </w:r>
      <w:r w:rsidRPr="001C4A98">
        <w:rPr>
          <w:bCs/>
          <w:sz w:val="24"/>
          <w:szCs w:val="24"/>
        </w:rPr>
        <w:t xml:space="preserve">На базата на </w:t>
      </w:r>
      <w:r w:rsidR="006612A8" w:rsidRPr="001C4A98">
        <w:rPr>
          <w:bCs/>
          <w:sz w:val="24"/>
          <w:szCs w:val="24"/>
        </w:rPr>
        <w:t>П</w:t>
      </w:r>
      <w:r w:rsidRPr="001C4A98">
        <w:rPr>
          <w:bCs/>
          <w:sz w:val="24"/>
          <w:szCs w:val="24"/>
        </w:rPr>
        <w:t>ротоколите по т. 7.</w:t>
      </w:r>
      <w:r w:rsidR="000B2839">
        <w:rPr>
          <w:bCs/>
          <w:sz w:val="24"/>
          <w:szCs w:val="24"/>
        </w:rPr>
        <w:t xml:space="preserve"> </w:t>
      </w:r>
      <w:r w:rsidRPr="001C4A98">
        <w:rPr>
          <w:bCs/>
          <w:sz w:val="24"/>
          <w:szCs w:val="24"/>
        </w:rPr>
        <w:t>1</w:t>
      </w:r>
      <w:r w:rsidR="006612A8" w:rsidRPr="001C4A98">
        <w:rPr>
          <w:bCs/>
          <w:sz w:val="24"/>
          <w:szCs w:val="24"/>
        </w:rPr>
        <w:t>.</w:t>
      </w:r>
      <w:r w:rsidRPr="001C4A98">
        <w:rPr>
          <w:bCs/>
          <w:sz w:val="24"/>
          <w:szCs w:val="24"/>
        </w:rPr>
        <w:t xml:space="preserve"> ръководителите на екипите </w:t>
      </w:r>
      <w:r w:rsidR="00B34928" w:rsidRPr="001C4A98">
        <w:rPr>
          <w:bCs/>
          <w:sz w:val="24"/>
          <w:szCs w:val="24"/>
        </w:rPr>
        <w:t xml:space="preserve">изготвят </w:t>
      </w:r>
      <w:r w:rsidR="009B2556" w:rsidRPr="001C4A98">
        <w:rPr>
          <w:bCs/>
          <w:sz w:val="24"/>
          <w:szCs w:val="24"/>
        </w:rPr>
        <w:t>Доклад</w:t>
      </w:r>
      <w:r w:rsidR="00D00ABA" w:rsidRPr="001C4A98">
        <w:rPr>
          <w:bCs/>
          <w:sz w:val="24"/>
          <w:szCs w:val="24"/>
        </w:rPr>
        <w:t xml:space="preserve"> за </w:t>
      </w:r>
      <w:r w:rsidR="00EE7F2D" w:rsidRPr="001C4A98">
        <w:rPr>
          <w:bCs/>
          <w:sz w:val="24"/>
          <w:szCs w:val="24"/>
        </w:rPr>
        <w:t xml:space="preserve">оценяване </w:t>
      </w:r>
      <w:r w:rsidR="00D00ABA" w:rsidRPr="001C4A98">
        <w:rPr>
          <w:bCs/>
          <w:sz w:val="24"/>
          <w:szCs w:val="24"/>
        </w:rPr>
        <w:t xml:space="preserve">на съответствието на </w:t>
      </w:r>
      <w:r w:rsidR="005F4602" w:rsidRPr="001C4A98">
        <w:rPr>
          <w:bCs/>
          <w:sz w:val="24"/>
          <w:szCs w:val="24"/>
        </w:rPr>
        <w:t xml:space="preserve">доставения тип </w:t>
      </w:r>
      <w:r w:rsidR="00D00ABA" w:rsidRPr="001C4A98">
        <w:rPr>
          <w:bCs/>
          <w:sz w:val="24"/>
          <w:szCs w:val="24"/>
        </w:rPr>
        <w:t>техническо устройство за машинно гласуване с изискванията по чл.</w:t>
      </w:r>
      <w:r w:rsidR="00BE5D50">
        <w:rPr>
          <w:bCs/>
          <w:sz w:val="24"/>
          <w:szCs w:val="24"/>
        </w:rPr>
        <w:t xml:space="preserve"> </w:t>
      </w:r>
      <w:r w:rsidR="00D00ABA" w:rsidRPr="001C4A98">
        <w:rPr>
          <w:bCs/>
          <w:sz w:val="24"/>
          <w:szCs w:val="24"/>
        </w:rPr>
        <w:t>213, ал.</w:t>
      </w:r>
      <w:r w:rsidR="00BE5D50">
        <w:rPr>
          <w:bCs/>
          <w:sz w:val="24"/>
          <w:szCs w:val="24"/>
        </w:rPr>
        <w:t xml:space="preserve"> </w:t>
      </w:r>
      <w:r w:rsidR="00D00ABA" w:rsidRPr="001C4A98">
        <w:rPr>
          <w:bCs/>
          <w:sz w:val="24"/>
          <w:szCs w:val="24"/>
        </w:rPr>
        <w:t xml:space="preserve">3 </w:t>
      </w:r>
      <w:r w:rsidR="00490759" w:rsidRPr="001C4A98">
        <w:rPr>
          <w:bCs/>
          <w:sz w:val="24"/>
          <w:szCs w:val="24"/>
        </w:rPr>
        <w:t>от Изборния кодекс</w:t>
      </w:r>
      <w:r w:rsidR="00373E66">
        <w:rPr>
          <w:bCs/>
          <w:sz w:val="24"/>
          <w:szCs w:val="24"/>
        </w:rPr>
        <w:t xml:space="preserve"> и изискванията на техническата спецификация</w:t>
      </w:r>
      <w:r w:rsidR="004F1230">
        <w:rPr>
          <w:bCs/>
          <w:sz w:val="24"/>
          <w:szCs w:val="24"/>
        </w:rPr>
        <w:t>.</w:t>
      </w:r>
      <w:r w:rsidR="00490759" w:rsidRPr="001C4A98">
        <w:rPr>
          <w:bCs/>
          <w:sz w:val="24"/>
          <w:szCs w:val="24"/>
        </w:rPr>
        <w:t xml:space="preserve"> </w:t>
      </w:r>
      <w:r w:rsidR="00422196" w:rsidRPr="001C4A98">
        <w:rPr>
          <w:bCs/>
          <w:sz w:val="24"/>
          <w:szCs w:val="24"/>
        </w:rPr>
        <w:t>Докладът се подписва от ръководителите на екипите</w:t>
      </w:r>
      <w:r w:rsidR="00726A5F">
        <w:rPr>
          <w:bCs/>
          <w:sz w:val="24"/>
          <w:szCs w:val="24"/>
        </w:rPr>
        <w:t xml:space="preserve">. </w:t>
      </w:r>
      <w:r w:rsidR="00422196" w:rsidRPr="001C4A98">
        <w:rPr>
          <w:bCs/>
          <w:sz w:val="24"/>
          <w:szCs w:val="24"/>
        </w:rPr>
        <w:t xml:space="preserve"> </w:t>
      </w:r>
    </w:p>
    <w:p w14:paraId="741765F7" w14:textId="09C7D3A3" w:rsidR="003E34BD" w:rsidRPr="001C4A98" w:rsidRDefault="00A457EC" w:rsidP="009B2556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7</w:t>
      </w:r>
      <w:r w:rsidR="009B2556" w:rsidRPr="001C4A98">
        <w:rPr>
          <w:b/>
          <w:bCs/>
          <w:sz w:val="24"/>
          <w:szCs w:val="24"/>
        </w:rPr>
        <w:t>.</w:t>
      </w:r>
      <w:r w:rsidR="00A82626" w:rsidRPr="001C4A98">
        <w:rPr>
          <w:b/>
          <w:bCs/>
          <w:sz w:val="24"/>
          <w:szCs w:val="24"/>
        </w:rPr>
        <w:t>3</w:t>
      </w:r>
      <w:r w:rsidR="009B2556" w:rsidRPr="001C4A98">
        <w:rPr>
          <w:b/>
          <w:bCs/>
          <w:sz w:val="24"/>
          <w:szCs w:val="24"/>
        </w:rPr>
        <w:t xml:space="preserve">. </w:t>
      </w:r>
      <w:r w:rsidR="009B2556" w:rsidRPr="001C4A98">
        <w:rPr>
          <w:bCs/>
          <w:sz w:val="24"/>
          <w:szCs w:val="24"/>
        </w:rPr>
        <w:t>Докладът</w:t>
      </w:r>
      <w:r w:rsidR="00490759" w:rsidRPr="001C4A98">
        <w:rPr>
          <w:bCs/>
          <w:sz w:val="24"/>
          <w:szCs w:val="24"/>
        </w:rPr>
        <w:t>, ведно с приложените Протоколи</w:t>
      </w:r>
      <w:r w:rsidR="00D00ABA" w:rsidRPr="001C4A98">
        <w:rPr>
          <w:bCs/>
          <w:sz w:val="24"/>
          <w:szCs w:val="24"/>
        </w:rPr>
        <w:t xml:space="preserve"> </w:t>
      </w:r>
      <w:r w:rsidR="006C551B" w:rsidRPr="001C4A98">
        <w:rPr>
          <w:bCs/>
          <w:sz w:val="24"/>
          <w:szCs w:val="24"/>
        </w:rPr>
        <w:t>за оценяване на съответствието</w:t>
      </w:r>
      <w:r w:rsidR="00A500DB" w:rsidRPr="001C4A98">
        <w:rPr>
          <w:bCs/>
          <w:sz w:val="24"/>
          <w:szCs w:val="24"/>
        </w:rPr>
        <w:t>,</w:t>
      </w:r>
      <w:r w:rsidR="006C551B" w:rsidRPr="001C4A98">
        <w:rPr>
          <w:bCs/>
          <w:sz w:val="24"/>
          <w:szCs w:val="24"/>
        </w:rPr>
        <w:t xml:space="preserve"> </w:t>
      </w:r>
      <w:r w:rsidR="00D00ABA" w:rsidRPr="001C4A98">
        <w:rPr>
          <w:bCs/>
          <w:sz w:val="24"/>
          <w:szCs w:val="24"/>
        </w:rPr>
        <w:t>се пред</w:t>
      </w:r>
      <w:r w:rsidR="002D72E3" w:rsidRPr="001C4A98">
        <w:rPr>
          <w:bCs/>
          <w:sz w:val="24"/>
          <w:szCs w:val="24"/>
        </w:rPr>
        <w:t>о</w:t>
      </w:r>
      <w:r w:rsidR="005F4602" w:rsidRPr="001C4A98">
        <w:rPr>
          <w:bCs/>
          <w:sz w:val="24"/>
          <w:szCs w:val="24"/>
        </w:rPr>
        <w:t>ставя</w:t>
      </w:r>
      <w:r w:rsidR="00490759" w:rsidRPr="001C4A98">
        <w:rPr>
          <w:bCs/>
          <w:sz w:val="24"/>
          <w:szCs w:val="24"/>
        </w:rPr>
        <w:t>т</w:t>
      </w:r>
      <w:r w:rsidR="005F4602" w:rsidRPr="001C4A98">
        <w:rPr>
          <w:bCs/>
          <w:sz w:val="24"/>
          <w:szCs w:val="24"/>
        </w:rPr>
        <w:t xml:space="preserve"> </w:t>
      </w:r>
      <w:r w:rsidR="006612A8" w:rsidRPr="001C4A98">
        <w:rPr>
          <w:bCs/>
          <w:sz w:val="24"/>
          <w:szCs w:val="24"/>
        </w:rPr>
        <w:t>на председателя</w:t>
      </w:r>
      <w:r w:rsidR="003E34BD" w:rsidRPr="001C4A98">
        <w:rPr>
          <w:bCs/>
          <w:sz w:val="24"/>
          <w:szCs w:val="24"/>
        </w:rPr>
        <w:t xml:space="preserve"> на ДАЕУ,</w:t>
      </w:r>
      <w:r w:rsidR="00D00ABA" w:rsidRPr="001C4A98">
        <w:rPr>
          <w:bCs/>
          <w:sz w:val="24"/>
          <w:szCs w:val="24"/>
        </w:rPr>
        <w:t xml:space="preserve"> председателя на БИМ и председателя на УС на БИС</w:t>
      </w:r>
      <w:r w:rsidR="003E34BD" w:rsidRPr="001C4A98">
        <w:rPr>
          <w:bCs/>
          <w:sz w:val="24"/>
          <w:szCs w:val="24"/>
        </w:rPr>
        <w:t xml:space="preserve"> за произнасяне </w:t>
      </w:r>
      <w:r w:rsidR="006D5DED" w:rsidRPr="001C4A98">
        <w:rPr>
          <w:bCs/>
          <w:sz w:val="24"/>
          <w:szCs w:val="24"/>
        </w:rPr>
        <w:t xml:space="preserve">съгласно чл. 213а, ал. </w:t>
      </w:r>
      <w:r w:rsidR="00BE5D50">
        <w:rPr>
          <w:bCs/>
          <w:sz w:val="24"/>
          <w:szCs w:val="24"/>
        </w:rPr>
        <w:t>2</w:t>
      </w:r>
      <w:r w:rsidR="00D00ABA" w:rsidRPr="001C4A98">
        <w:rPr>
          <w:bCs/>
          <w:sz w:val="24"/>
          <w:szCs w:val="24"/>
        </w:rPr>
        <w:t xml:space="preserve"> </w:t>
      </w:r>
      <w:r w:rsidR="006D5DED" w:rsidRPr="001C4A98">
        <w:rPr>
          <w:bCs/>
          <w:sz w:val="24"/>
          <w:szCs w:val="24"/>
        </w:rPr>
        <w:t>от Изборния кодекс</w:t>
      </w:r>
      <w:r w:rsidR="009B0C97" w:rsidRPr="001C4A98">
        <w:rPr>
          <w:bCs/>
          <w:sz w:val="24"/>
          <w:szCs w:val="24"/>
        </w:rPr>
        <w:t xml:space="preserve"> </w:t>
      </w:r>
      <w:r w:rsidR="003E34BD" w:rsidRPr="001C4A98">
        <w:rPr>
          <w:bCs/>
          <w:sz w:val="24"/>
          <w:szCs w:val="24"/>
        </w:rPr>
        <w:t>с оглед удостоверяване</w:t>
      </w:r>
      <w:r w:rsidR="004F1230">
        <w:rPr>
          <w:bCs/>
          <w:sz w:val="24"/>
          <w:szCs w:val="24"/>
        </w:rPr>
        <w:t xml:space="preserve"> или отказ от удостоверяване</w:t>
      </w:r>
      <w:r w:rsidR="003E34BD" w:rsidRPr="001C4A98">
        <w:rPr>
          <w:bCs/>
          <w:sz w:val="24"/>
          <w:szCs w:val="24"/>
        </w:rPr>
        <w:t xml:space="preserve"> на съответствието. </w:t>
      </w:r>
    </w:p>
    <w:p w14:paraId="545DF395" w14:textId="5D4B92C0" w:rsidR="00992B8D" w:rsidRPr="001C4A98" w:rsidRDefault="003E34BD" w:rsidP="009B2556">
      <w:pPr>
        <w:spacing w:after="12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lastRenderedPageBreak/>
        <w:t>7.4</w:t>
      </w:r>
      <w:r w:rsidRPr="001C4A98">
        <w:rPr>
          <w:bCs/>
          <w:sz w:val="24"/>
          <w:szCs w:val="24"/>
        </w:rPr>
        <w:t xml:space="preserve">. В </w:t>
      </w:r>
      <w:r w:rsidR="00323A18">
        <w:rPr>
          <w:bCs/>
          <w:sz w:val="24"/>
          <w:szCs w:val="24"/>
        </w:rPr>
        <w:t>2</w:t>
      </w:r>
      <w:r w:rsidRPr="001C4A98">
        <w:rPr>
          <w:bCs/>
          <w:sz w:val="24"/>
          <w:szCs w:val="24"/>
        </w:rPr>
        <w:t>-дневен срок от предоставянето на документите по т. 7.</w:t>
      </w:r>
      <w:r w:rsidR="00911A83">
        <w:rPr>
          <w:bCs/>
          <w:sz w:val="24"/>
          <w:szCs w:val="24"/>
        </w:rPr>
        <w:t xml:space="preserve"> </w:t>
      </w:r>
      <w:r w:rsidRPr="001C4A98">
        <w:rPr>
          <w:bCs/>
          <w:sz w:val="24"/>
          <w:szCs w:val="24"/>
        </w:rPr>
        <w:t xml:space="preserve">3. председателят на ДАЕУ, </w:t>
      </w:r>
      <w:r w:rsidR="00F56EEF" w:rsidRPr="001C4A98">
        <w:rPr>
          <w:bCs/>
          <w:sz w:val="24"/>
          <w:szCs w:val="24"/>
        </w:rPr>
        <w:t xml:space="preserve">съвместно с </w:t>
      </w:r>
      <w:r w:rsidRPr="001C4A98">
        <w:rPr>
          <w:bCs/>
          <w:sz w:val="24"/>
          <w:szCs w:val="24"/>
        </w:rPr>
        <w:t xml:space="preserve">председателя на БИМ и председателя на УС на БИС </w:t>
      </w:r>
      <w:r w:rsidR="001634B4" w:rsidRPr="001C4A98">
        <w:rPr>
          <w:bCs/>
          <w:sz w:val="24"/>
          <w:szCs w:val="24"/>
        </w:rPr>
        <w:t>издав</w:t>
      </w:r>
      <w:r w:rsidR="009B0C97" w:rsidRPr="001C4A98">
        <w:rPr>
          <w:bCs/>
          <w:sz w:val="24"/>
          <w:szCs w:val="24"/>
        </w:rPr>
        <w:t>а</w:t>
      </w:r>
      <w:r w:rsidR="001634B4" w:rsidRPr="001C4A98">
        <w:rPr>
          <w:bCs/>
          <w:sz w:val="24"/>
          <w:szCs w:val="24"/>
        </w:rPr>
        <w:t>т решение за</w:t>
      </w:r>
      <w:r w:rsidR="009B0C97" w:rsidRPr="001C4A98">
        <w:rPr>
          <w:bCs/>
          <w:sz w:val="24"/>
          <w:szCs w:val="24"/>
        </w:rPr>
        <w:t xml:space="preserve"> удостоверяване</w:t>
      </w:r>
      <w:r w:rsidR="00F2664B">
        <w:rPr>
          <w:bCs/>
          <w:sz w:val="24"/>
          <w:szCs w:val="24"/>
        </w:rPr>
        <w:t>/</w:t>
      </w:r>
      <w:proofErr w:type="spellStart"/>
      <w:r w:rsidR="00F2664B">
        <w:rPr>
          <w:bCs/>
          <w:sz w:val="24"/>
          <w:szCs w:val="24"/>
        </w:rPr>
        <w:t>неудостоверяване</w:t>
      </w:r>
      <w:proofErr w:type="spellEnd"/>
      <w:r w:rsidR="009B0C97" w:rsidRPr="001C4A98">
        <w:rPr>
          <w:bCs/>
          <w:sz w:val="24"/>
          <w:szCs w:val="24"/>
        </w:rPr>
        <w:t xml:space="preserve"> на съответствието</w:t>
      </w:r>
      <w:r w:rsidR="001634B4" w:rsidRPr="001C4A98">
        <w:rPr>
          <w:bCs/>
          <w:sz w:val="24"/>
          <w:szCs w:val="24"/>
        </w:rPr>
        <w:t xml:space="preserve"> на доставения тип техническо устройство за машинно гласуване</w:t>
      </w:r>
      <w:r w:rsidR="00B41F4B" w:rsidRPr="001C4A98">
        <w:rPr>
          <w:bCs/>
          <w:sz w:val="24"/>
          <w:szCs w:val="24"/>
        </w:rPr>
        <w:t xml:space="preserve"> с изискванията на чл. 213, ал. 3 от Изборния </w:t>
      </w:r>
      <w:r w:rsidR="00B41F4B" w:rsidRPr="00F35816">
        <w:rPr>
          <w:bCs/>
          <w:sz w:val="24"/>
          <w:szCs w:val="24"/>
        </w:rPr>
        <w:t xml:space="preserve">кодекс </w:t>
      </w:r>
      <w:r w:rsidR="00796FC6">
        <w:rPr>
          <w:bCs/>
          <w:sz w:val="24"/>
          <w:szCs w:val="24"/>
        </w:rPr>
        <w:t xml:space="preserve">и </w:t>
      </w:r>
      <w:r w:rsidR="00373E66" w:rsidRPr="00852D83">
        <w:rPr>
          <w:bCs/>
          <w:sz w:val="24"/>
          <w:szCs w:val="24"/>
        </w:rPr>
        <w:t>и</w:t>
      </w:r>
      <w:r w:rsidR="00373E66">
        <w:rPr>
          <w:bCs/>
          <w:sz w:val="24"/>
          <w:szCs w:val="24"/>
        </w:rPr>
        <w:t xml:space="preserve">зискванията на техническата спецификация. </w:t>
      </w:r>
      <w:r w:rsidR="00770220" w:rsidRPr="001C4A98">
        <w:rPr>
          <w:rFonts w:asciiTheme="minorHAnsi" w:hAnsiTheme="minorHAnsi" w:cs="Arial"/>
          <w:sz w:val="24"/>
          <w:szCs w:val="24"/>
          <w:shd w:val="clear" w:color="auto" w:fill="FFFFFF"/>
        </w:rPr>
        <w:t>Удостоверяването на съответствието е към момента на предоставяне на ТУМГ със съответния софтуер</w:t>
      </w:r>
      <w:r w:rsidR="003708BB" w:rsidRPr="001C4A98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(</w:t>
      </w:r>
      <w:r w:rsidR="003708BB" w:rsidRPr="001C4A98">
        <w:rPr>
          <w:rFonts w:asciiTheme="minorHAnsi" w:hAnsiTheme="minorHAnsi" w:cs="Arial"/>
          <w:sz w:val="24"/>
          <w:szCs w:val="24"/>
        </w:rPr>
        <w:t xml:space="preserve">базов, </w:t>
      </w:r>
      <w:r w:rsidR="00A500DB" w:rsidRPr="001C4A98">
        <w:rPr>
          <w:rFonts w:asciiTheme="minorHAnsi" w:hAnsiTheme="minorHAnsi" w:cs="Arial"/>
          <w:sz w:val="24"/>
          <w:szCs w:val="24"/>
        </w:rPr>
        <w:t>приложен</w:t>
      </w:r>
      <w:r w:rsidR="003708BB" w:rsidRPr="001C4A98">
        <w:rPr>
          <w:rFonts w:asciiTheme="minorHAnsi" w:hAnsiTheme="minorHAnsi" w:cs="Arial"/>
          <w:sz w:val="24"/>
          <w:szCs w:val="24"/>
        </w:rPr>
        <w:t>, криптиращ и софтуер за оторизация)</w:t>
      </w:r>
      <w:r w:rsidR="003708BB" w:rsidRPr="001C4A98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и периферни устройства. </w:t>
      </w:r>
      <w:r w:rsidR="004F1230">
        <w:rPr>
          <w:rFonts w:asciiTheme="minorHAnsi" w:hAnsiTheme="minorHAnsi" w:cs="Arial"/>
          <w:sz w:val="24"/>
          <w:szCs w:val="24"/>
          <w:shd w:val="clear" w:color="auto" w:fill="FFFFFF"/>
        </w:rPr>
        <w:t>След одобряване на Доклада и издаване на решението за удостоверяване в</w:t>
      </w:r>
      <w:r w:rsidR="003708BB" w:rsidRPr="001C4A98">
        <w:rPr>
          <w:rFonts w:asciiTheme="minorHAnsi" w:hAnsiTheme="minorHAnsi" w:cs="Arial"/>
          <w:sz w:val="24"/>
          <w:szCs w:val="24"/>
          <w:shd w:val="clear" w:color="auto" w:fill="FFFFFF"/>
        </w:rPr>
        <w:t>сяка последваща промяна в софтуера</w:t>
      </w:r>
      <w:r w:rsidR="004F1230">
        <w:rPr>
          <w:rFonts w:asciiTheme="minorHAnsi" w:hAnsiTheme="minorHAnsi" w:cs="Arial"/>
          <w:sz w:val="24"/>
          <w:szCs w:val="24"/>
          <w:shd w:val="clear" w:color="auto" w:fill="FFFFFF"/>
        </w:rPr>
        <w:t>, хардуера и/или консумативите</w:t>
      </w:r>
      <w:r w:rsidR="003708BB" w:rsidRPr="001C4A98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не попада в обхвата на извършеното удостоверяване. </w:t>
      </w:r>
    </w:p>
    <w:p w14:paraId="335681EE" w14:textId="7D05792B" w:rsidR="00D00ABA" w:rsidRPr="001C4A98" w:rsidRDefault="00A457EC" w:rsidP="00D00ABA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7</w:t>
      </w:r>
      <w:r w:rsidR="00491409" w:rsidRPr="001C4A98">
        <w:rPr>
          <w:b/>
          <w:bCs/>
          <w:sz w:val="24"/>
          <w:szCs w:val="24"/>
        </w:rPr>
        <w:t>.</w:t>
      </w:r>
      <w:r w:rsidR="003E34BD" w:rsidRPr="001C4A98">
        <w:rPr>
          <w:b/>
          <w:bCs/>
          <w:sz w:val="24"/>
          <w:szCs w:val="24"/>
        </w:rPr>
        <w:t>5</w:t>
      </w:r>
      <w:r w:rsidR="00491409" w:rsidRPr="001C4A98">
        <w:rPr>
          <w:b/>
          <w:bCs/>
          <w:sz w:val="24"/>
          <w:szCs w:val="24"/>
        </w:rPr>
        <w:t>.</w:t>
      </w:r>
      <w:r w:rsidR="00491409" w:rsidRPr="001C4A98">
        <w:rPr>
          <w:bCs/>
          <w:sz w:val="24"/>
          <w:szCs w:val="24"/>
        </w:rPr>
        <w:t xml:space="preserve"> </w:t>
      </w:r>
      <w:r w:rsidR="00D00ABA" w:rsidRPr="00852D83">
        <w:rPr>
          <w:bCs/>
          <w:sz w:val="24"/>
          <w:szCs w:val="24"/>
        </w:rPr>
        <w:t xml:space="preserve">В случай на констатирани несъответствия с </w:t>
      </w:r>
      <w:r w:rsidR="008E609A" w:rsidRPr="00852D83">
        <w:rPr>
          <w:bCs/>
          <w:sz w:val="24"/>
          <w:szCs w:val="24"/>
        </w:rPr>
        <w:t xml:space="preserve">изискванията на чл. 213, ал. 3 от Изборния кодекс и </w:t>
      </w:r>
      <w:r w:rsidR="001C5F0E" w:rsidRPr="00852D83">
        <w:rPr>
          <w:bCs/>
          <w:sz w:val="24"/>
          <w:szCs w:val="24"/>
        </w:rPr>
        <w:t xml:space="preserve">изисквания </w:t>
      </w:r>
      <w:r w:rsidR="00373E66">
        <w:rPr>
          <w:bCs/>
          <w:sz w:val="24"/>
          <w:szCs w:val="24"/>
        </w:rPr>
        <w:t>на техническата спецификация</w:t>
      </w:r>
      <w:r w:rsidR="00D00ABA" w:rsidRPr="00852D83">
        <w:rPr>
          <w:bCs/>
          <w:sz w:val="24"/>
          <w:szCs w:val="24"/>
        </w:rPr>
        <w:t xml:space="preserve">, </w:t>
      </w:r>
      <w:r w:rsidR="00933C12" w:rsidRPr="00852D83">
        <w:rPr>
          <w:bCs/>
          <w:sz w:val="24"/>
          <w:szCs w:val="24"/>
        </w:rPr>
        <w:t>съ</w:t>
      </w:r>
      <w:r w:rsidR="00933C12" w:rsidRPr="001C4A98">
        <w:rPr>
          <w:bCs/>
          <w:sz w:val="24"/>
          <w:szCs w:val="24"/>
        </w:rPr>
        <w:t xml:space="preserve">щите </w:t>
      </w:r>
      <w:r w:rsidR="00D00ABA" w:rsidRPr="001C4A98">
        <w:rPr>
          <w:bCs/>
          <w:sz w:val="24"/>
          <w:szCs w:val="24"/>
        </w:rPr>
        <w:t>се отразяват в Протокол</w:t>
      </w:r>
      <w:r w:rsidR="00490759" w:rsidRPr="001C4A98">
        <w:rPr>
          <w:bCs/>
          <w:sz w:val="24"/>
          <w:szCs w:val="24"/>
        </w:rPr>
        <w:t>ите</w:t>
      </w:r>
      <w:r w:rsidR="00992B8D" w:rsidRPr="001C4A98">
        <w:rPr>
          <w:bCs/>
          <w:sz w:val="24"/>
          <w:szCs w:val="24"/>
        </w:rPr>
        <w:t xml:space="preserve"> </w:t>
      </w:r>
      <w:r w:rsidR="002D72E3" w:rsidRPr="001C4A98">
        <w:rPr>
          <w:bCs/>
          <w:sz w:val="24"/>
          <w:szCs w:val="24"/>
        </w:rPr>
        <w:t xml:space="preserve">по т. </w:t>
      </w:r>
      <w:r w:rsidR="00AF2831" w:rsidRPr="001C4A98">
        <w:rPr>
          <w:bCs/>
          <w:sz w:val="24"/>
          <w:szCs w:val="24"/>
        </w:rPr>
        <w:t>7</w:t>
      </w:r>
      <w:r w:rsidR="002D72E3" w:rsidRPr="001C4A98">
        <w:rPr>
          <w:bCs/>
          <w:sz w:val="24"/>
          <w:szCs w:val="24"/>
        </w:rPr>
        <w:t xml:space="preserve">.1. </w:t>
      </w:r>
      <w:r w:rsidR="00D00ABA" w:rsidRPr="001C4A98">
        <w:rPr>
          <w:bCs/>
          <w:sz w:val="24"/>
          <w:szCs w:val="24"/>
        </w:rPr>
        <w:t>и ведно с Доклад</w:t>
      </w:r>
      <w:r w:rsidR="009B2556" w:rsidRPr="001C4A98">
        <w:rPr>
          <w:bCs/>
          <w:sz w:val="24"/>
          <w:szCs w:val="24"/>
        </w:rPr>
        <w:t>а</w:t>
      </w:r>
      <w:r w:rsidR="00D00ABA" w:rsidRPr="001C4A98">
        <w:rPr>
          <w:bCs/>
          <w:sz w:val="24"/>
          <w:szCs w:val="24"/>
        </w:rPr>
        <w:t xml:space="preserve"> </w:t>
      </w:r>
      <w:r w:rsidR="00933C12" w:rsidRPr="001C4A98">
        <w:rPr>
          <w:bCs/>
          <w:sz w:val="24"/>
          <w:szCs w:val="24"/>
        </w:rPr>
        <w:t>по т. 7.2.</w:t>
      </w:r>
      <w:r w:rsidR="009B2556" w:rsidRPr="001C4A98">
        <w:rPr>
          <w:bCs/>
          <w:sz w:val="24"/>
          <w:szCs w:val="24"/>
        </w:rPr>
        <w:t xml:space="preserve"> и </w:t>
      </w:r>
      <w:r w:rsidR="00E37F79" w:rsidRPr="001C4A98">
        <w:rPr>
          <w:bCs/>
          <w:sz w:val="24"/>
          <w:szCs w:val="24"/>
        </w:rPr>
        <w:t>решението</w:t>
      </w:r>
      <w:r w:rsidR="00EE7F2D" w:rsidRPr="001C4A98">
        <w:rPr>
          <w:bCs/>
          <w:sz w:val="24"/>
          <w:szCs w:val="24"/>
        </w:rPr>
        <w:t xml:space="preserve"> </w:t>
      </w:r>
      <w:r w:rsidR="00933C12" w:rsidRPr="001C4A98">
        <w:rPr>
          <w:bCs/>
          <w:sz w:val="24"/>
          <w:szCs w:val="24"/>
        </w:rPr>
        <w:t>по т. 7.4.</w:t>
      </w:r>
      <w:r w:rsidR="00D00ABA" w:rsidRPr="001C4A98">
        <w:rPr>
          <w:bCs/>
          <w:sz w:val="24"/>
          <w:szCs w:val="24"/>
        </w:rPr>
        <w:t xml:space="preserve"> се пре</w:t>
      </w:r>
      <w:r w:rsidR="00933C12" w:rsidRPr="001C4A98">
        <w:rPr>
          <w:bCs/>
          <w:sz w:val="24"/>
          <w:szCs w:val="24"/>
        </w:rPr>
        <w:t>доставят на ЦИ</w:t>
      </w:r>
      <w:r w:rsidR="00D00ABA" w:rsidRPr="001C4A98">
        <w:rPr>
          <w:bCs/>
          <w:sz w:val="24"/>
          <w:szCs w:val="24"/>
        </w:rPr>
        <w:t xml:space="preserve">К за предприемане на последващи </w:t>
      </w:r>
      <w:r w:rsidR="001C5F0E" w:rsidRPr="001C4A98">
        <w:rPr>
          <w:bCs/>
          <w:sz w:val="24"/>
          <w:szCs w:val="24"/>
        </w:rPr>
        <w:t xml:space="preserve">коригиращи </w:t>
      </w:r>
      <w:r w:rsidR="00D00ABA" w:rsidRPr="001C4A98">
        <w:rPr>
          <w:bCs/>
          <w:sz w:val="24"/>
          <w:szCs w:val="24"/>
        </w:rPr>
        <w:t>действия</w:t>
      </w:r>
      <w:r w:rsidR="001C5F0E" w:rsidRPr="001C4A98">
        <w:rPr>
          <w:bCs/>
          <w:sz w:val="24"/>
          <w:szCs w:val="24"/>
        </w:rPr>
        <w:t xml:space="preserve"> от организационно или технологично естество</w:t>
      </w:r>
      <w:r w:rsidR="00D00ABA" w:rsidRPr="001C4A98">
        <w:rPr>
          <w:bCs/>
          <w:sz w:val="24"/>
          <w:szCs w:val="24"/>
        </w:rPr>
        <w:t xml:space="preserve">. </w:t>
      </w:r>
    </w:p>
    <w:p w14:paraId="1CE268D9" w14:textId="77777777" w:rsidR="004A5E2D" w:rsidRDefault="004A5E2D" w:rsidP="0091433B">
      <w:pPr>
        <w:spacing w:after="120" w:line="240" w:lineRule="auto"/>
        <w:ind w:firstLine="648"/>
        <w:jc w:val="both"/>
        <w:rPr>
          <w:b/>
          <w:bCs/>
          <w:sz w:val="26"/>
          <w:szCs w:val="26"/>
        </w:rPr>
      </w:pPr>
    </w:p>
    <w:p w14:paraId="247CF93D" w14:textId="18982651" w:rsidR="0091433B" w:rsidRPr="001C4A98" w:rsidRDefault="0091433B" w:rsidP="0091433B">
      <w:pPr>
        <w:spacing w:after="120" w:line="240" w:lineRule="auto"/>
        <w:ind w:firstLine="648"/>
        <w:jc w:val="both"/>
        <w:rPr>
          <w:b/>
          <w:bCs/>
          <w:sz w:val="26"/>
          <w:szCs w:val="26"/>
        </w:rPr>
      </w:pPr>
      <w:r w:rsidRPr="001C4A98">
        <w:rPr>
          <w:b/>
          <w:bCs/>
          <w:sz w:val="26"/>
          <w:szCs w:val="26"/>
        </w:rPr>
        <w:t>8. Удостоверяване на съответствието на технически устройства за машинно гласуване, които вече са използвани в предходни избори</w:t>
      </w:r>
    </w:p>
    <w:p w14:paraId="773DAFDF" w14:textId="14A6B796" w:rsidR="00696BA9" w:rsidRDefault="00696BA9" w:rsidP="0091433B">
      <w:pPr>
        <w:spacing w:after="120" w:line="240" w:lineRule="auto"/>
        <w:jc w:val="both"/>
        <w:rPr>
          <w:bCs/>
          <w:sz w:val="24"/>
          <w:szCs w:val="24"/>
        </w:rPr>
      </w:pPr>
    </w:p>
    <w:p w14:paraId="6689275E" w14:textId="125C0F6A" w:rsidR="0091433B" w:rsidRPr="001C4A98" w:rsidRDefault="0091433B" w:rsidP="0091433B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В случаите, в които се извършва Удостоверяване на съответствието на </w:t>
      </w:r>
      <w:r w:rsidR="000A4CE1" w:rsidRPr="001C4A98">
        <w:rPr>
          <w:bCs/>
          <w:sz w:val="24"/>
          <w:szCs w:val="24"/>
        </w:rPr>
        <w:t xml:space="preserve">използвани в предходни избори </w:t>
      </w:r>
      <w:r w:rsidRPr="001C4A98">
        <w:rPr>
          <w:bCs/>
          <w:sz w:val="24"/>
          <w:szCs w:val="24"/>
        </w:rPr>
        <w:t xml:space="preserve">технически устройства за машинно гласуване с изискванията на Изборния кодекс </w:t>
      </w:r>
      <w:r w:rsidRPr="00956D38">
        <w:rPr>
          <w:bCs/>
          <w:sz w:val="24"/>
          <w:szCs w:val="24"/>
        </w:rPr>
        <w:t xml:space="preserve">и </w:t>
      </w:r>
      <w:r w:rsidR="00C95698">
        <w:rPr>
          <w:bCs/>
          <w:sz w:val="24"/>
          <w:szCs w:val="24"/>
        </w:rPr>
        <w:t>изискванията на техническата спецификация</w:t>
      </w:r>
      <w:r w:rsidR="000A4CE1" w:rsidRPr="001C4A98">
        <w:rPr>
          <w:bCs/>
          <w:sz w:val="24"/>
          <w:szCs w:val="24"/>
        </w:rPr>
        <w:t>, екипите за оценяване</w:t>
      </w:r>
      <w:r w:rsidRPr="001C4A98">
        <w:rPr>
          <w:bCs/>
          <w:sz w:val="24"/>
          <w:szCs w:val="24"/>
        </w:rPr>
        <w:t xml:space="preserve"> </w:t>
      </w:r>
      <w:r w:rsidR="006B4F27" w:rsidRPr="001C4A98">
        <w:rPr>
          <w:bCs/>
          <w:sz w:val="24"/>
          <w:szCs w:val="24"/>
        </w:rPr>
        <w:t xml:space="preserve">на съответствието </w:t>
      </w:r>
      <w:r w:rsidRPr="001C4A98">
        <w:rPr>
          <w:bCs/>
          <w:sz w:val="24"/>
          <w:szCs w:val="24"/>
        </w:rPr>
        <w:t>извършват следните дейности:</w:t>
      </w:r>
    </w:p>
    <w:p w14:paraId="224D76AE" w14:textId="70C80BFA" w:rsidR="000A4CE1" w:rsidRPr="00654957" w:rsidRDefault="0091433B" w:rsidP="0091433B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- </w:t>
      </w:r>
      <w:r w:rsidR="006B4F27" w:rsidRPr="001C4A98">
        <w:rPr>
          <w:bCs/>
          <w:sz w:val="24"/>
          <w:szCs w:val="24"/>
        </w:rPr>
        <w:t>Преглед</w:t>
      </w:r>
      <w:r w:rsidRPr="001C4A98">
        <w:rPr>
          <w:bCs/>
          <w:sz w:val="24"/>
          <w:szCs w:val="24"/>
        </w:rPr>
        <w:t xml:space="preserve"> </w:t>
      </w:r>
      <w:r w:rsidR="000A4CE1" w:rsidRPr="001C4A98">
        <w:rPr>
          <w:bCs/>
          <w:sz w:val="24"/>
          <w:szCs w:val="24"/>
        </w:rPr>
        <w:t>за промени в</w:t>
      </w:r>
      <w:r w:rsidRPr="001C4A98">
        <w:rPr>
          <w:bCs/>
          <w:sz w:val="24"/>
          <w:szCs w:val="24"/>
        </w:rPr>
        <w:t xml:space="preserve"> </w:t>
      </w:r>
      <w:r w:rsidR="00B26B0F">
        <w:rPr>
          <w:bCs/>
          <w:sz w:val="24"/>
          <w:szCs w:val="24"/>
        </w:rPr>
        <w:t xml:space="preserve">релевантното </w:t>
      </w:r>
      <w:r w:rsidR="000A4CE1" w:rsidRPr="001C4A98">
        <w:rPr>
          <w:bCs/>
          <w:sz w:val="24"/>
          <w:szCs w:val="24"/>
        </w:rPr>
        <w:t xml:space="preserve"> европейско и национално законодателство;</w:t>
      </w:r>
    </w:p>
    <w:p w14:paraId="4F03FA39" w14:textId="6BF6138D" w:rsidR="0091433B" w:rsidRPr="001C4A98" w:rsidRDefault="000A4CE1" w:rsidP="0091433B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- </w:t>
      </w:r>
      <w:r w:rsidR="006B4F27" w:rsidRPr="001C4A98">
        <w:rPr>
          <w:bCs/>
          <w:sz w:val="24"/>
          <w:szCs w:val="24"/>
        </w:rPr>
        <w:t>Преглед</w:t>
      </w:r>
      <w:r w:rsidRPr="001C4A98">
        <w:rPr>
          <w:bCs/>
          <w:sz w:val="24"/>
          <w:szCs w:val="24"/>
        </w:rPr>
        <w:t xml:space="preserve"> на </w:t>
      </w:r>
      <w:r w:rsidR="0091433B" w:rsidRPr="001C4A98">
        <w:rPr>
          <w:bCs/>
          <w:sz w:val="24"/>
          <w:szCs w:val="24"/>
        </w:rPr>
        <w:t>предоставената от ЦИК документация;</w:t>
      </w:r>
    </w:p>
    <w:p w14:paraId="7464D817" w14:textId="6106CC78" w:rsidR="0091433B" w:rsidRPr="001C4A98" w:rsidRDefault="0091433B" w:rsidP="0091433B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>- Оглед и анализ на състоянието на предоставените образци на ТУМГ</w:t>
      </w:r>
      <w:r w:rsidR="006B4F27" w:rsidRPr="001C4A98">
        <w:rPr>
          <w:bCs/>
          <w:sz w:val="24"/>
          <w:szCs w:val="24"/>
        </w:rPr>
        <w:t>.</w:t>
      </w:r>
    </w:p>
    <w:p w14:paraId="1A83109F" w14:textId="1511FC58" w:rsidR="0091433B" w:rsidRPr="001C4A98" w:rsidRDefault="000A4CE1" w:rsidP="0091433B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 xml:space="preserve">Ръководителите на екипи разработват </w:t>
      </w:r>
      <w:r w:rsidR="0091433B" w:rsidRPr="001C4A98">
        <w:rPr>
          <w:bCs/>
          <w:sz w:val="24"/>
          <w:szCs w:val="24"/>
        </w:rPr>
        <w:t>План за оценяване и удостоверяване</w:t>
      </w:r>
      <w:r w:rsidRPr="001C4A98">
        <w:rPr>
          <w:bCs/>
          <w:sz w:val="24"/>
          <w:szCs w:val="24"/>
        </w:rPr>
        <w:t xml:space="preserve"> на съответствието по т.</w:t>
      </w:r>
      <w:r w:rsidR="006B4F27" w:rsidRPr="001C4A98">
        <w:rPr>
          <w:bCs/>
          <w:sz w:val="24"/>
          <w:szCs w:val="24"/>
        </w:rPr>
        <w:t xml:space="preserve"> </w:t>
      </w:r>
      <w:r w:rsidRPr="001C4A98">
        <w:rPr>
          <w:bCs/>
          <w:sz w:val="24"/>
          <w:szCs w:val="24"/>
        </w:rPr>
        <w:t xml:space="preserve">5 от настоящата Методика, съдържащ само дейностите, които ще бъдат реализирани с оглед </w:t>
      </w:r>
      <w:r w:rsidR="006B4F27" w:rsidRPr="001C4A98">
        <w:rPr>
          <w:bCs/>
          <w:sz w:val="24"/>
          <w:szCs w:val="24"/>
        </w:rPr>
        <w:t>резултатите от посочените по-горе дейности и реализираните във връзка с предходните избори процедури по проверка и оценяване</w:t>
      </w:r>
      <w:r w:rsidRPr="001C4A98">
        <w:rPr>
          <w:bCs/>
          <w:sz w:val="24"/>
          <w:szCs w:val="24"/>
        </w:rPr>
        <w:t xml:space="preserve">. </w:t>
      </w:r>
    </w:p>
    <w:p w14:paraId="4FF760F1" w14:textId="46B70E0A" w:rsidR="006B4F27" w:rsidRDefault="000A4CE1" w:rsidP="006B4F27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>Дейностите на екипите завършват с изготвяне на Протоколи за проверка и оценяване на</w:t>
      </w:r>
      <w:r w:rsidR="00F12789" w:rsidRPr="001C4A98">
        <w:rPr>
          <w:bCs/>
          <w:sz w:val="24"/>
          <w:szCs w:val="24"/>
        </w:rPr>
        <w:t xml:space="preserve"> съответствието, които следват формата на Процедурите №</w:t>
      </w:r>
      <w:r w:rsidR="006B4F27" w:rsidRPr="001C4A98">
        <w:rPr>
          <w:bCs/>
          <w:sz w:val="24"/>
          <w:szCs w:val="24"/>
        </w:rPr>
        <w:t xml:space="preserve"> </w:t>
      </w:r>
      <w:r w:rsidR="00F12789" w:rsidRPr="001C4A98">
        <w:rPr>
          <w:bCs/>
          <w:sz w:val="24"/>
          <w:szCs w:val="24"/>
        </w:rPr>
        <w:t>1-4</w:t>
      </w:r>
      <w:r w:rsidR="006B4F27" w:rsidRPr="001C4A98">
        <w:rPr>
          <w:bCs/>
          <w:sz w:val="24"/>
          <w:szCs w:val="24"/>
        </w:rPr>
        <w:t>. След изготвянето на Протоколите ръководителите на екипи разработват Доклада за</w:t>
      </w:r>
      <w:r w:rsidRPr="001C4A98">
        <w:rPr>
          <w:bCs/>
          <w:sz w:val="24"/>
          <w:szCs w:val="24"/>
        </w:rPr>
        <w:t xml:space="preserve"> </w:t>
      </w:r>
      <w:r w:rsidR="006B4F27" w:rsidRPr="001C4A98">
        <w:rPr>
          <w:bCs/>
          <w:sz w:val="24"/>
          <w:szCs w:val="24"/>
        </w:rPr>
        <w:t>оценяване на съответствието, който се предоставя на председателя на ДАЕУ, председателя на БИМ и председателя на УС на БИС за произнасяне съгласно чл. 213а, ал.</w:t>
      </w:r>
      <w:r w:rsidR="00B438DF">
        <w:rPr>
          <w:bCs/>
          <w:sz w:val="24"/>
          <w:szCs w:val="24"/>
        </w:rPr>
        <w:t xml:space="preserve"> 2</w:t>
      </w:r>
      <w:r w:rsidR="006B4F27" w:rsidRPr="001C4A98">
        <w:rPr>
          <w:bCs/>
          <w:sz w:val="24"/>
          <w:szCs w:val="24"/>
        </w:rPr>
        <w:t xml:space="preserve"> от Изборния кодекс с оглед удостоверяване на съответствието. </w:t>
      </w:r>
    </w:p>
    <w:p w14:paraId="22E83972" w14:textId="7E7E7464" w:rsidR="00075B26" w:rsidRDefault="00075B26" w:rsidP="006B4F27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1746DB5A" w14:textId="5444270C" w:rsidR="00E8586F" w:rsidRPr="001C4A98" w:rsidRDefault="0091433B" w:rsidP="0091433B">
      <w:pPr>
        <w:spacing w:after="120" w:line="240" w:lineRule="auto"/>
        <w:ind w:firstLine="648"/>
        <w:jc w:val="both"/>
        <w:rPr>
          <w:b/>
          <w:bCs/>
          <w:sz w:val="26"/>
          <w:szCs w:val="26"/>
        </w:rPr>
      </w:pPr>
      <w:r w:rsidRPr="001C4A98">
        <w:rPr>
          <w:b/>
          <w:bCs/>
          <w:sz w:val="26"/>
          <w:szCs w:val="26"/>
        </w:rPr>
        <w:t xml:space="preserve">9. </w:t>
      </w:r>
      <w:r w:rsidR="00E8586F" w:rsidRPr="001C4A98">
        <w:rPr>
          <w:b/>
          <w:bCs/>
          <w:sz w:val="26"/>
          <w:szCs w:val="26"/>
        </w:rPr>
        <w:t>Участие на външни наблюдатели в процеса на удостоверяването</w:t>
      </w:r>
    </w:p>
    <w:p w14:paraId="1D66DD0C" w14:textId="79067257" w:rsidR="00E8586F" w:rsidRPr="001C4A98" w:rsidRDefault="00E8586F" w:rsidP="00E8586F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>В съответствие с чл. 213а, ал.</w:t>
      </w:r>
      <w:r w:rsidR="000E0B21">
        <w:rPr>
          <w:bCs/>
          <w:sz w:val="24"/>
          <w:szCs w:val="24"/>
        </w:rPr>
        <w:t xml:space="preserve"> </w:t>
      </w:r>
      <w:r w:rsidRPr="001C4A98">
        <w:rPr>
          <w:bCs/>
          <w:sz w:val="24"/>
          <w:szCs w:val="24"/>
        </w:rPr>
        <w:t>3</w:t>
      </w:r>
      <w:r w:rsidR="009E7651" w:rsidRPr="001C4A98">
        <w:rPr>
          <w:bCs/>
          <w:sz w:val="24"/>
          <w:szCs w:val="24"/>
        </w:rPr>
        <w:t xml:space="preserve"> от Изборния кодекс</w:t>
      </w:r>
      <w:r w:rsidRPr="001C4A98">
        <w:rPr>
          <w:bCs/>
          <w:sz w:val="24"/>
          <w:szCs w:val="24"/>
        </w:rPr>
        <w:t xml:space="preserve"> в процеса на удостоверяването може да участват и представители на партиите, коалициите и инициативните комитети, </w:t>
      </w:r>
      <w:r w:rsidRPr="001C4A98">
        <w:rPr>
          <w:bCs/>
          <w:sz w:val="24"/>
          <w:szCs w:val="24"/>
        </w:rPr>
        <w:lastRenderedPageBreak/>
        <w:t>регистрирани за участие в изборите, на български неправителствени организации, които са регистрирали набл</w:t>
      </w:r>
      <w:r w:rsidR="006D7139">
        <w:rPr>
          <w:bCs/>
          <w:sz w:val="24"/>
          <w:szCs w:val="24"/>
        </w:rPr>
        <w:t>юдатели за съответния вид избор</w:t>
      </w:r>
      <w:r w:rsidRPr="001C4A98">
        <w:rPr>
          <w:bCs/>
          <w:sz w:val="24"/>
          <w:szCs w:val="24"/>
        </w:rPr>
        <w:t xml:space="preserve"> и на Българската академия на науките. </w:t>
      </w:r>
    </w:p>
    <w:p w14:paraId="19F6A647" w14:textId="34BF92E7" w:rsidR="00E8586F" w:rsidRDefault="00E8586F" w:rsidP="00E8586F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sz w:val="24"/>
          <w:szCs w:val="24"/>
        </w:rPr>
        <w:t>Лицата по чл. 213а, ал</w:t>
      </w:r>
      <w:r w:rsidR="000E0B21">
        <w:rPr>
          <w:bCs/>
          <w:sz w:val="24"/>
          <w:szCs w:val="24"/>
        </w:rPr>
        <w:t>. 3</w:t>
      </w:r>
      <w:r w:rsidRPr="001C4A98">
        <w:rPr>
          <w:bCs/>
          <w:sz w:val="24"/>
          <w:szCs w:val="24"/>
        </w:rPr>
        <w:t xml:space="preserve"> </w:t>
      </w:r>
      <w:r w:rsidR="00180FF5">
        <w:rPr>
          <w:bCs/>
          <w:sz w:val="24"/>
          <w:szCs w:val="24"/>
        </w:rPr>
        <w:t xml:space="preserve">от Изборния кодекс </w:t>
      </w:r>
      <w:r w:rsidRPr="001C4A98">
        <w:rPr>
          <w:bCs/>
          <w:sz w:val="24"/>
          <w:szCs w:val="24"/>
        </w:rPr>
        <w:t xml:space="preserve">получават достъп до информационните активи и </w:t>
      </w:r>
      <w:r w:rsidR="009E7651" w:rsidRPr="001C4A98">
        <w:rPr>
          <w:bCs/>
          <w:sz w:val="24"/>
          <w:szCs w:val="24"/>
        </w:rPr>
        <w:t xml:space="preserve">до дейностите по </w:t>
      </w:r>
      <w:r w:rsidRPr="001C4A98">
        <w:rPr>
          <w:bCs/>
          <w:sz w:val="24"/>
          <w:szCs w:val="24"/>
        </w:rPr>
        <w:t>изпитване</w:t>
      </w:r>
      <w:r w:rsidR="009E7651" w:rsidRPr="001C4A98">
        <w:rPr>
          <w:bCs/>
          <w:sz w:val="24"/>
          <w:szCs w:val="24"/>
        </w:rPr>
        <w:t>, проверка</w:t>
      </w:r>
      <w:r w:rsidRPr="001C4A98">
        <w:rPr>
          <w:bCs/>
          <w:sz w:val="24"/>
          <w:szCs w:val="24"/>
        </w:rPr>
        <w:t xml:space="preserve"> и оценяване на съответствието след подаване на заявление и по график, съгласуван с председателя на ДАЕУ, председателя на БИМ и председателя на УС на БИС и в съответствие с реда, определен от Централната избирателна комисия.</w:t>
      </w:r>
    </w:p>
    <w:p w14:paraId="731663A0" w14:textId="77777777" w:rsidR="00E8586F" w:rsidRPr="001C4A98" w:rsidRDefault="00E8586F" w:rsidP="0091433B">
      <w:pPr>
        <w:spacing w:after="120" w:line="240" w:lineRule="auto"/>
        <w:ind w:firstLine="648"/>
        <w:jc w:val="both"/>
        <w:rPr>
          <w:b/>
          <w:bCs/>
          <w:sz w:val="26"/>
          <w:szCs w:val="26"/>
        </w:rPr>
      </w:pPr>
    </w:p>
    <w:p w14:paraId="3173C786" w14:textId="27C1E3DB" w:rsidR="00A565CE" w:rsidRPr="001C4A98" w:rsidRDefault="005606DF" w:rsidP="0091433B">
      <w:pPr>
        <w:spacing w:after="120" w:line="240" w:lineRule="auto"/>
        <w:ind w:firstLine="648"/>
        <w:jc w:val="both"/>
        <w:rPr>
          <w:b/>
          <w:bCs/>
          <w:sz w:val="26"/>
          <w:szCs w:val="26"/>
        </w:rPr>
      </w:pPr>
      <w:r w:rsidRPr="001C4A98">
        <w:rPr>
          <w:b/>
          <w:bCs/>
          <w:sz w:val="26"/>
          <w:szCs w:val="26"/>
        </w:rPr>
        <w:t xml:space="preserve">10. </w:t>
      </w:r>
      <w:r w:rsidR="00A565CE" w:rsidRPr="001C4A98">
        <w:rPr>
          <w:b/>
          <w:bCs/>
          <w:sz w:val="26"/>
          <w:szCs w:val="26"/>
        </w:rPr>
        <w:t>Заключение</w:t>
      </w:r>
    </w:p>
    <w:p w14:paraId="709098F4" w14:textId="00EA7BE6" w:rsidR="00BB2B58" w:rsidRPr="001C4A98" w:rsidRDefault="003E34BD" w:rsidP="00BB2B58">
      <w:pPr>
        <w:spacing w:after="120" w:line="240" w:lineRule="auto"/>
        <w:jc w:val="both"/>
        <w:rPr>
          <w:bCs/>
          <w:color w:val="000000" w:themeColor="text1"/>
          <w:sz w:val="24"/>
          <w:szCs w:val="24"/>
        </w:rPr>
      </w:pPr>
      <w:r w:rsidRPr="001C4A98">
        <w:rPr>
          <w:bCs/>
          <w:sz w:val="24"/>
          <w:szCs w:val="24"/>
        </w:rPr>
        <w:t xml:space="preserve">Настоящата </w:t>
      </w:r>
      <w:r w:rsidR="006C551B" w:rsidRPr="001C4A98">
        <w:rPr>
          <w:bCs/>
          <w:sz w:val="24"/>
          <w:szCs w:val="24"/>
        </w:rPr>
        <w:t xml:space="preserve">Методика </w:t>
      </w:r>
      <w:r w:rsidR="001C02CD" w:rsidRPr="001C4A98">
        <w:rPr>
          <w:bCs/>
          <w:sz w:val="24"/>
          <w:szCs w:val="24"/>
        </w:rPr>
        <w:t xml:space="preserve">е </w:t>
      </w:r>
      <w:r w:rsidRPr="001C4A98">
        <w:rPr>
          <w:bCs/>
          <w:sz w:val="24"/>
          <w:szCs w:val="24"/>
        </w:rPr>
        <w:t>изготвена</w:t>
      </w:r>
      <w:r w:rsidR="001C02CD" w:rsidRPr="001C4A98">
        <w:rPr>
          <w:bCs/>
          <w:sz w:val="24"/>
          <w:szCs w:val="24"/>
        </w:rPr>
        <w:t xml:space="preserve"> от експертна работна група, определена със заповед </w:t>
      </w:r>
      <w:r w:rsidR="00284404" w:rsidRPr="00D661E2">
        <w:rPr>
          <w:bCs/>
          <w:sz w:val="24"/>
          <w:szCs w:val="24"/>
        </w:rPr>
        <w:t>№ ДАЕУ-</w:t>
      </w:r>
      <w:r w:rsidR="00D661E2" w:rsidRPr="00D661E2">
        <w:rPr>
          <w:bCs/>
          <w:sz w:val="24"/>
          <w:szCs w:val="24"/>
        </w:rPr>
        <w:t>15142/20.09</w:t>
      </w:r>
      <w:r w:rsidR="00284404" w:rsidRPr="00D661E2">
        <w:rPr>
          <w:bCs/>
          <w:sz w:val="24"/>
          <w:szCs w:val="24"/>
        </w:rPr>
        <w:t>.</w:t>
      </w:r>
      <w:r w:rsidR="001C02CD" w:rsidRPr="00D661E2">
        <w:rPr>
          <w:bCs/>
          <w:sz w:val="24"/>
          <w:szCs w:val="24"/>
        </w:rPr>
        <w:t>202</w:t>
      </w:r>
      <w:r w:rsidR="00D1368E" w:rsidRPr="00D661E2">
        <w:rPr>
          <w:bCs/>
          <w:sz w:val="24"/>
          <w:szCs w:val="24"/>
        </w:rPr>
        <w:t>1</w:t>
      </w:r>
      <w:r w:rsidR="001C02CD" w:rsidRPr="00D661E2">
        <w:rPr>
          <w:bCs/>
          <w:sz w:val="24"/>
          <w:szCs w:val="24"/>
        </w:rPr>
        <w:t xml:space="preserve"> г. </w:t>
      </w:r>
      <w:r w:rsidRPr="001C4A98">
        <w:rPr>
          <w:bCs/>
          <w:sz w:val="24"/>
          <w:szCs w:val="24"/>
        </w:rPr>
        <w:t>на п</w:t>
      </w:r>
      <w:r w:rsidR="006612A8" w:rsidRPr="001C4A98">
        <w:rPr>
          <w:bCs/>
          <w:sz w:val="24"/>
          <w:szCs w:val="24"/>
        </w:rPr>
        <w:t>редседателя</w:t>
      </w:r>
      <w:r w:rsidR="001C02CD" w:rsidRPr="001C4A98">
        <w:rPr>
          <w:bCs/>
          <w:sz w:val="24"/>
          <w:szCs w:val="24"/>
        </w:rPr>
        <w:t xml:space="preserve"> на ДАЕУ, председателя на БИМ и председателя на УС на БИС</w:t>
      </w:r>
      <w:r w:rsidRPr="001C4A98">
        <w:rPr>
          <w:bCs/>
          <w:sz w:val="24"/>
          <w:szCs w:val="24"/>
        </w:rPr>
        <w:t>. При нейното разработване</w:t>
      </w:r>
      <w:r w:rsidR="003605DA" w:rsidRPr="001C4A98">
        <w:rPr>
          <w:bCs/>
          <w:sz w:val="24"/>
          <w:szCs w:val="24"/>
        </w:rPr>
        <w:t xml:space="preserve"> са използвани </w:t>
      </w:r>
      <w:r w:rsidR="008B0231" w:rsidRPr="001C4A98">
        <w:rPr>
          <w:bCs/>
          <w:color w:val="000000" w:themeColor="text1"/>
          <w:sz w:val="24"/>
          <w:szCs w:val="24"/>
        </w:rPr>
        <w:t>добрите практики, разписани в европейски и международни стандарти</w:t>
      </w:r>
      <w:r w:rsidR="007D250B" w:rsidRPr="001C4A98">
        <w:rPr>
          <w:bCs/>
          <w:color w:val="000000" w:themeColor="text1"/>
          <w:sz w:val="24"/>
          <w:szCs w:val="24"/>
        </w:rPr>
        <w:t>, както и</w:t>
      </w:r>
      <w:r w:rsidR="008B0231" w:rsidRPr="001C4A98">
        <w:rPr>
          <w:bCs/>
          <w:color w:val="000000" w:themeColor="text1"/>
          <w:sz w:val="24"/>
          <w:szCs w:val="24"/>
        </w:rPr>
        <w:t xml:space="preserve"> националното законодателство</w:t>
      </w:r>
      <w:r w:rsidR="007D250B" w:rsidRPr="001C4A98">
        <w:rPr>
          <w:bCs/>
          <w:color w:val="000000" w:themeColor="text1"/>
          <w:sz w:val="24"/>
          <w:szCs w:val="24"/>
        </w:rPr>
        <w:t>, хармонизирано с европейското</w:t>
      </w:r>
      <w:r w:rsidR="007B3CC5" w:rsidRPr="001C4A98">
        <w:rPr>
          <w:bCs/>
          <w:color w:val="000000" w:themeColor="text1"/>
          <w:sz w:val="24"/>
          <w:szCs w:val="24"/>
        </w:rPr>
        <w:t>, изрично посочени в б</w:t>
      </w:r>
      <w:r w:rsidR="008B0231" w:rsidRPr="001C4A98">
        <w:rPr>
          <w:bCs/>
          <w:color w:val="000000" w:themeColor="text1"/>
          <w:sz w:val="24"/>
          <w:szCs w:val="24"/>
        </w:rPr>
        <w:t>иблиография</w:t>
      </w:r>
      <w:r w:rsidR="007B3CC5" w:rsidRPr="001C4A98">
        <w:rPr>
          <w:bCs/>
          <w:color w:val="000000" w:themeColor="text1"/>
          <w:sz w:val="24"/>
          <w:szCs w:val="24"/>
        </w:rPr>
        <w:t xml:space="preserve"> към </w:t>
      </w:r>
      <w:r w:rsidR="006C551B" w:rsidRPr="001C4A98">
        <w:rPr>
          <w:bCs/>
          <w:color w:val="000000" w:themeColor="text1"/>
          <w:sz w:val="24"/>
          <w:szCs w:val="24"/>
        </w:rPr>
        <w:t>Методиката</w:t>
      </w:r>
      <w:r w:rsidR="00425F82" w:rsidRPr="001C4A98">
        <w:rPr>
          <w:bCs/>
          <w:color w:val="000000" w:themeColor="text1"/>
          <w:sz w:val="24"/>
          <w:szCs w:val="24"/>
        </w:rPr>
        <w:t xml:space="preserve">. </w:t>
      </w:r>
    </w:p>
    <w:p w14:paraId="42909CBE" w14:textId="2C3F407C" w:rsidR="00D1368E" w:rsidRPr="001C4A98" w:rsidRDefault="00D1368E" w:rsidP="00BB2B58">
      <w:pPr>
        <w:spacing w:after="120" w:line="240" w:lineRule="auto"/>
        <w:jc w:val="both"/>
        <w:rPr>
          <w:bCs/>
          <w:color w:val="000000" w:themeColor="text1"/>
          <w:sz w:val="24"/>
          <w:szCs w:val="24"/>
        </w:rPr>
      </w:pPr>
      <w:r w:rsidRPr="001C4A98">
        <w:rPr>
          <w:bCs/>
          <w:color w:val="000000" w:themeColor="text1"/>
          <w:sz w:val="24"/>
          <w:szCs w:val="24"/>
        </w:rPr>
        <w:t xml:space="preserve">Методиката за удостоверяване на съответствието се актуализира при промяна в европейското или националното законодателство, промени в типа на ТУМГ или при промяна в </w:t>
      </w:r>
      <w:r w:rsidRPr="001C4A98">
        <w:rPr>
          <w:bCs/>
          <w:sz w:val="24"/>
          <w:szCs w:val="24"/>
        </w:rPr>
        <w:t xml:space="preserve">техническите изисквания към апаратната и програмната част на техническите устройства за машинно гласуване, които са определени от Централната избирателна комисия съгласно чл. 213, ал. 3 от Изборния кодекс. Новата версия на Методиката се представя от работната група и се </w:t>
      </w:r>
      <w:r w:rsidR="00FD73FA">
        <w:rPr>
          <w:bCs/>
          <w:sz w:val="24"/>
          <w:szCs w:val="24"/>
        </w:rPr>
        <w:t>утвърждава</w:t>
      </w:r>
      <w:r w:rsidRPr="001C4A98">
        <w:rPr>
          <w:bCs/>
          <w:sz w:val="24"/>
          <w:szCs w:val="24"/>
        </w:rPr>
        <w:t xml:space="preserve"> от председателя на ДАЕУ, председателя на БИМ и председателя на УС на БИС.</w:t>
      </w:r>
    </w:p>
    <w:p w14:paraId="1F046B33" w14:textId="68E7177B" w:rsidR="00BB2B58" w:rsidRPr="001C4A98" w:rsidRDefault="00BB2B58" w:rsidP="00BB2B58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Cs/>
          <w:color w:val="000000" w:themeColor="text1"/>
          <w:sz w:val="24"/>
          <w:szCs w:val="24"/>
        </w:rPr>
        <w:t xml:space="preserve">Забележка: </w:t>
      </w:r>
      <w:r w:rsidRPr="001C4A98">
        <w:rPr>
          <w:bCs/>
          <w:sz w:val="24"/>
          <w:szCs w:val="24"/>
        </w:rPr>
        <w:t xml:space="preserve">Методите и процедурите, чрез които ще се оценява съответствието, </w:t>
      </w:r>
      <w:r w:rsidR="007A4136" w:rsidRPr="001C4A98">
        <w:rPr>
          <w:bCs/>
          <w:sz w:val="24"/>
          <w:szCs w:val="24"/>
        </w:rPr>
        <w:t xml:space="preserve">могат да </w:t>
      </w:r>
      <w:r w:rsidRPr="001C4A98">
        <w:rPr>
          <w:bCs/>
          <w:sz w:val="24"/>
          <w:szCs w:val="24"/>
        </w:rPr>
        <w:t xml:space="preserve">бъдат </w:t>
      </w:r>
      <w:r w:rsidR="007A4136" w:rsidRPr="001C4A98">
        <w:rPr>
          <w:bCs/>
          <w:sz w:val="24"/>
          <w:szCs w:val="24"/>
        </w:rPr>
        <w:t>актуализирани</w:t>
      </w:r>
      <w:r w:rsidRPr="001C4A98">
        <w:rPr>
          <w:bCs/>
          <w:sz w:val="24"/>
          <w:szCs w:val="24"/>
        </w:rPr>
        <w:t xml:space="preserve"> след получаване </w:t>
      </w:r>
      <w:r w:rsidR="003C4B4F" w:rsidRPr="001C4A98">
        <w:rPr>
          <w:bCs/>
          <w:sz w:val="24"/>
          <w:szCs w:val="24"/>
        </w:rPr>
        <w:t xml:space="preserve">от ЦИК </w:t>
      </w:r>
      <w:r w:rsidRPr="001C4A98">
        <w:rPr>
          <w:bCs/>
          <w:sz w:val="24"/>
          <w:szCs w:val="24"/>
        </w:rPr>
        <w:t xml:space="preserve">на </w:t>
      </w:r>
      <w:r w:rsidR="0066676B" w:rsidRPr="001C4A98">
        <w:rPr>
          <w:bCs/>
          <w:sz w:val="24"/>
          <w:szCs w:val="24"/>
        </w:rPr>
        <w:t>пълната</w:t>
      </w:r>
      <w:r w:rsidRPr="001C4A98">
        <w:rPr>
          <w:bCs/>
          <w:sz w:val="24"/>
          <w:szCs w:val="24"/>
        </w:rPr>
        <w:t xml:space="preserve"> техническа документация</w:t>
      </w:r>
      <w:r w:rsidR="00C54251" w:rsidRPr="001C4A98">
        <w:rPr>
          <w:bCs/>
          <w:sz w:val="24"/>
          <w:szCs w:val="24"/>
        </w:rPr>
        <w:t>,</w:t>
      </w:r>
      <w:r w:rsidRPr="001C4A98">
        <w:rPr>
          <w:bCs/>
          <w:sz w:val="24"/>
          <w:szCs w:val="24"/>
        </w:rPr>
        <w:t xml:space="preserve"> </w:t>
      </w:r>
      <w:r w:rsidR="00C54251" w:rsidRPr="001C4A98">
        <w:rPr>
          <w:bCs/>
          <w:sz w:val="24"/>
          <w:szCs w:val="24"/>
        </w:rPr>
        <w:t xml:space="preserve">техническото предложение на Изпълнителя, софтуера и </w:t>
      </w:r>
      <w:r w:rsidR="00897F94" w:rsidRPr="001C4A98">
        <w:rPr>
          <w:bCs/>
          <w:sz w:val="24"/>
          <w:szCs w:val="24"/>
        </w:rPr>
        <w:t xml:space="preserve">представителна извадка от </w:t>
      </w:r>
      <w:r w:rsidR="003C4B4F" w:rsidRPr="001C4A98">
        <w:rPr>
          <w:bCs/>
          <w:sz w:val="24"/>
          <w:szCs w:val="24"/>
        </w:rPr>
        <w:t xml:space="preserve">образците </w:t>
      </w:r>
      <w:r w:rsidR="00BA2637" w:rsidRPr="001C4A98">
        <w:rPr>
          <w:bCs/>
          <w:sz w:val="24"/>
          <w:szCs w:val="24"/>
        </w:rPr>
        <w:t>на</w:t>
      </w:r>
      <w:r w:rsidR="003C4B4F" w:rsidRPr="001C4A98">
        <w:rPr>
          <w:bCs/>
          <w:sz w:val="24"/>
          <w:szCs w:val="24"/>
        </w:rPr>
        <w:t xml:space="preserve"> </w:t>
      </w:r>
      <w:r w:rsidRPr="001C4A98">
        <w:rPr>
          <w:bCs/>
          <w:sz w:val="24"/>
          <w:szCs w:val="24"/>
        </w:rPr>
        <w:t>ТУМГ</w:t>
      </w:r>
      <w:r w:rsidR="00CE0852">
        <w:rPr>
          <w:bCs/>
          <w:sz w:val="24"/>
          <w:szCs w:val="24"/>
        </w:rPr>
        <w:t>, които ще бъдат използвани в съответните избори</w:t>
      </w:r>
      <w:r w:rsidRPr="001C4A98">
        <w:rPr>
          <w:bCs/>
          <w:sz w:val="24"/>
          <w:szCs w:val="24"/>
        </w:rPr>
        <w:t xml:space="preserve">. </w:t>
      </w:r>
    </w:p>
    <w:p w14:paraId="4A341D4C" w14:textId="77777777" w:rsidR="00F03768" w:rsidRDefault="00F03768" w:rsidP="00930557">
      <w:pPr>
        <w:spacing w:after="120" w:line="240" w:lineRule="auto"/>
        <w:jc w:val="both"/>
        <w:rPr>
          <w:b/>
          <w:bCs/>
          <w:sz w:val="24"/>
          <w:szCs w:val="24"/>
        </w:rPr>
      </w:pPr>
    </w:p>
    <w:p w14:paraId="7551443F" w14:textId="190EFC16" w:rsidR="000278F9" w:rsidRDefault="00066B3D" w:rsidP="00930557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</w:t>
      </w:r>
      <w:r w:rsidR="00BE0BA1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: </w:t>
      </w:r>
    </w:p>
    <w:p w14:paraId="10F6D603" w14:textId="77777777" w:rsidR="00066B3D" w:rsidRDefault="00066B3D" w:rsidP="00930557">
      <w:pPr>
        <w:spacing w:after="120" w:line="240" w:lineRule="auto"/>
        <w:jc w:val="both"/>
        <w:rPr>
          <w:b/>
          <w:bCs/>
          <w:sz w:val="24"/>
          <w:szCs w:val="24"/>
        </w:rPr>
      </w:pPr>
    </w:p>
    <w:p w14:paraId="1C6768AF" w14:textId="3CD5356F" w:rsidR="00066B3D" w:rsidRPr="005069AD" w:rsidRDefault="00156783" w:rsidP="00156783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bCs/>
          <w:sz w:val="24"/>
          <w:szCs w:val="24"/>
        </w:rPr>
      </w:pPr>
      <w:r w:rsidRPr="005069AD">
        <w:rPr>
          <w:bCs/>
          <w:sz w:val="24"/>
          <w:szCs w:val="24"/>
        </w:rPr>
        <w:t>Процедура за проверка на валидността и автентичността на документи за оценяване на съответствието на ТУМГ или негова съставна част, издадени от трета независима страна</w:t>
      </w:r>
      <w:r w:rsidR="00066B3D" w:rsidRPr="005069AD">
        <w:rPr>
          <w:bCs/>
          <w:sz w:val="24"/>
          <w:szCs w:val="24"/>
        </w:rPr>
        <w:t xml:space="preserve"> - </w:t>
      </w:r>
      <w:r w:rsidR="00016ABE" w:rsidRPr="005069AD">
        <w:rPr>
          <w:bCs/>
          <w:sz w:val="24"/>
          <w:szCs w:val="24"/>
        </w:rPr>
        <w:t xml:space="preserve">Приложение </w:t>
      </w:r>
      <w:r w:rsidR="00066B3D" w:rsidRPr="005069AD">
        <w:rPr>
          <w:bCs/>
          <w:sz w:val="24"/>
          <w:szCs w:val="24"/>
        </w:rPr>
        <w:t>№ 1;</w:t>
      </w:r>
    </w:p>
    <w:p w14:paraId="582CC294" w14:textId="1684BABA" w:rsidR="00066B3D" w:rsidRPr="005069AD" w:rsidRDefault="00156783" w:rsidP="00156783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bCs/>
          <w:sz w:val="24"/>
          <w:szCs w:val="24"/>
        </w:rPr>
      </w:pPr>
      <w:r w:rsidRPr="005069AD">
        <w:rPr>
          <w:bCs/>
          <w:sz w:val="24"/>
          <w:szCs w:val="24"/>
        </w:rPr>
        <w:t>Процедура по проверка на изисквания към хардуерната конфигурация на устройствата -</w:t>
      </w:r>
      <w:r w:rsidR="00066B3D" w:rsidRPr="005069AD">
        <w:rPr>
          <w:bCs/>
          <w:sz w:val="24"/>
          <w:szCs w:val="24"/>
        </w:rPr>
        <w:t xml:space="preserve"> Приложение № 2;</w:t>
      </w:r>
    </w:p>
    <w:p w14:paraId="1033233A" w14:textId="63851969" w:rsidR="00066B3D" w:rsidRPr="005069AD" w:rsidRDefault="009852BA" w:rsidP="009852BA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bCs/>
          <w:sz w:val="24"/>
          <w:szCs w:val="24"/>
        </w:rPr>
      </w:pPr>
      <w:r w:rsidRPr="009852BA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роцедура по п</w:t>
      </w:r>
      <w:r w:rsidRPr="009852BA">
        <w:rPr>
          <w:bCs/>
          <w:sz w:val="24"/>
          <w:szCs w:val="24"/>
        </w:rPr>
        <w:t xml:space="preserve">роверка и оценка на функционалността на ТУМГ за съответствие с функционалните и техническите изискванията на ИК </w:t>
      </w:r>
      <w:r w:rsidR="00066B3D" w:rsidRPr="005069AD">
        <w:rPr>
          <w:bCs/>
          <w:sz w:val="24"/>
          <w:szCs w:val="24"/>
        </w:rPr>
        <w:t>- Приложение № 3;</w:t>
      </w:r>
    </w:p>
    <w:p w14:paraId="31360BE0" w14:textId="0882282C" w:rsidR="00066B3D" w:rsidRPr="005069AD" w:rsidRDefault="00AF54DA" w:rsidP="008C3C41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Процедура по п</w:t>
      </w:r>
      <w:r w:rsidR="008C3C41" w:rsidRPr="005069AD">
        <w:rPr>
          <w:bCs/>
          <w:sz w:val="24"/>
          <w:szCs w:val="24"/>
        </w:rPr>
        <w:t>роверка на сигурността на информацията, която се въвежда, обработва, съхранява и извежда от доставения тип ТУМГ</w:t>
      </w:r>
      <w:r w:rsidR="008C3C41" w:rsidRPr="005069AD" w:rsidDel="008C3C41">
        <w:rPr>
          <w:bCs/>
          <w:sz w:val="24"/>
          <w:szCs w:val="24"/>
        </w:rPr>
        <w:t xml:space="preserve"> </w:t>
      </w:r>
      <w:r w:rsidR="00803B5F" w:rsidRPr="005069AD">
        <w:rPr>
          <w:bCs/>
          <w:sz w:val="24"/>
          <w:szCs w:val="24"/>
        </w:rPr>
        <w:t>-</w:t>
      </w:r>
      <w:r w:rsidR="00066B3D" w:rsidRPr="005069AD">
        <w:rPr>
          <w:bCs/>
          <w:sz w:val="24"/>
          <w:szCs w:val="24"/>
        </w:rPr>
        <w:t xml:space="preserve"> Приложение № 4</w:t>
      </w:r>
      <w:r w:rsidR="00016ABE" w:rsidRPr="005069AD">
        <w:rPr>
          <w:bCs/>
          <w:sz w:val="24"/>
          <w:szCs w:val="24"/>
        </w:rPr>
        <w:t xml:space="preserve">. </w:t>
      </w:r>
    </w:p>
    <w:p w14:paraId="2BD1A84A" w14:textId="783846BE" w:rsidR="00FC18EA" w:rsidRPr="0018359A" w:rsidRDefault="00FC18EA" w:rsidP="00930557">
      <w:pPr>
        <w:spacing w:after="120" w:line="240" w:lineRule="auto"/>
        <w:jc w:val="both"/>
        <w:rPr>
          <w:b/>
          <w:bCs/>
          <w:i/>
          <w:sz w:val="24"/>
          <w:szCs w:val="24"/>
        </w:rPr>
      </w:pPr>
      <w:r w:rsidRPr="001C4A98">
        <w:rPr>
          <w:b/>
          <w:bCs/>
          <w:i/>
          <w:sz w:val="24"/>
          <w:szCs w:val="24"/>
        </w:rPr>
        <w:lastRenderedPageBreak/>
        <w:t xml:space="preserve">Настоящата Методика е </w:t>
      </w:r>
      <w:r w:rsidR="0075693C" w:rsidRPr="001C4A98">
        <w:rPr>
          <w:b/>
          <w:bCs/>
          <w:i/>
          <w:sz w:val="24"/>
          <w:szCs w:val="24"/>
        </w:rPr>
        <w:t>утвърдена</w:t>
      </w:r>
      <w:r w:rsidR="00F67A9F" w:rsidRPr="001C4A98">
        <w:rPr>
          <w:b/>
          <w:bCs/>
          <w:i/>
          <w:sz w:val="24"/>
          <w:szCs w:val="24"/>
        </w:rPr>
        <w:t xml:space="preserve"> на </w:t>
      </w:r>
      <w:r w:rsidR="0018359A">
        <w:rPr>
          <w:b/>
          <w:bCs/>
          <w:i/>
          <w:sz w:val="24"/>
          <w:szCs w:val="24"/>
        </w:rPr>
        <w:t>12.02.201 г.,</w:t>
      </w:r>
      <w:r w:rsidR="00DD6021">
        <w:rPr>
          <w:b/>
          <w:bCs/>
          <w:i/>
          <w:color w:val="FF0000"/>
          <w:sz w:val="24"/>
          <w:szCs w:val="24"/>
        </w:rPr>
        <w:t xml:space="preserve"> </w:t>
      </w:r>
      <w:r w:rsidR="0018359A">
        <w:rPr>
          <w:b/>
          <w:bCs/>
          <w:i/>
          <w:sz w:val="24"/>
          <w:szCs w:val="24"/>
        </w:rPr>
        <w:t>изменена и допълнена на 14.06.2021 г. със заповед № ДАЕУ</w:t>
      </w:r>
      <w:r w:rsidR="0000096D">
        <w:rPr>
          <w:b/>
          <w:bCs/>
          <w:i/>
          <w:sz w:val="24"/>
          <w:szCs w:val="24"/>
        </w:rPr>
        <w:t>-</w:t>
      </w:r>
      <w:r w:rsidR="0018359A">
        <w:rPr>
          <w:b/>
          <w:bCs/>
          <w:i/>
          <w:sz w:val="24"/>
          <w:szCs w:val="24"/>
        </w:rPr>
        <w:t>9513/14.06.21 г.</w:t>
      </w:r>
      <w:r w:rsidR="00DD6021" w:rsidRPr="0018359A">
        <w:rPr>
          <w:b/>
          <w:bCs/>
          <w:i/>
          <w:sz w:val="24"/>
          <w:szCs w:val="24"/>
        </w:rPr>
        <w:t>, изменена и д</w:t>
      </w:r>
      <w:r w:rsidR="00297801">
        <w:rPr>
          <w:b/>
          <w:bCs/>
          <w:i/>
          <w:sz w:val="24"/>
          <w:szCs w:val="24"/>
        </w:rPr>
        <w:t xml:space="preserve">опълнена на 19.10.2021 г. </w:t>
      </w:r>
      <w:r w:rsidR="005771E8">
        <w:rPr>
          <w:b/>
          <w:bCs/>
          <w:i/>
          <w:sz w:val="24"/>
          <w:szCs w:val="24"/>
        </w:rPr>
        <w:t>със заповед № ДАЕУ-17250/19.10.2021г.</w:t>
      </w:r>
    </w:p>
    <w:p w14:paraId="59868C98" w14:textId="77777777" w:rsidR="00FF1D33" w:rsidRPr="001C4A98" w:rsidRDefault="00FF1D33" w:rsidP="00930557">
      <w:pPr>
        <w:spacing w:after="120" w:line="240" w:lineRule="auto"/>
        <w:jc w:val="both"/>
        <w:rPr>
          <w:b/>
          <w:bCs/>
          <w:i/>
          <w:sz w:val="24"/>
          <w:szCs w:val="24"/>
        </w:rPr>
      </w:pPr>
    </w:p>
    <w:p w14:paraId="28D6CFDE" w14:textId="23EB502B" w:rsidR="00FC18EA" w:rsidRPr="001C4A98" w:rsidRDefault="00FC18EA" w:rsidP="00930557">
      <w:pPr>
        <w:spacing w:after="120" w:line="240" w:lineRule="auto"/>
        <w:jc w:val="both"/>
        <w:rPr>
          <w:bCs/>
          <w:sz w:val="24"/>
          <w:szCs w:val="24"/>
        </w:rPr>
      </w:pPr>
    </w:p>
    <w:p w14:paraId="0C620EDB" w14:textId="156F3E9E" w:rsidR="007D738F" w:rsidRPr="001C4A98" w:rsidRDefault="007D738F" w:rsidP="00ED55BF">
      <w:pPr>
        <w:spacing w:after="0" w:line="240" w:lineRule="auto"/>
        <w:jc w:val="both"/>
        <w:rPr>
          <w:bCs/>
          <w:sz w:val="26"/>
          <w:szCs w:val="26"/>
        </w:rPr>
      </w:pPr>
    </w:p>
    <w:p w14:paraId="7D500902" w14:textId="77777777" w:rsidR="008563C6" w:rsidRPr="001C4A98" w:rsidRDefault="008563C6" w:rsidP="007A6203">
      <w:pPr>
        <w:spacing w:after="120" w:line="240" w:lineRule="auto"/>
        <w:jc w:val="right"/>
        <w:rPr>
          <w:b/>
          <w:bCs/>
          <w:sz w:val="24"/>
          <w:szCs w:val="24"/>
        </w:rPr>
      </w:pPr>
    </w:p>
    <w:p w14:paraId="41AB4EBE" w14:textId="77777777" w:rsidR="00F303AC" w:rsidRPr="001C4A98" w:rsidRDefault="00F303AC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63F89F6B" w14:textId="77777777" w:rsidR="00F303AC" w:rsidRPr="001C4A98" w:rsidRDefault="00F303AC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7ADFA4E3" w14:textId="77777777" w:rsidR="009E44C2" w:rsidRDefault="009E44C2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70C59E5C" w14:textId="77777777" w:rsidR="009E44C2" w:rsidRDefault="009E44C2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68592009" w14:textId="77777777" w:rsidR="009E44C2" w:rsidRDefault="009E44C2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3E2EF9C6" w14:textId="77777777" w:rsidR="009E44C2" w:rsidRDefault="009E44C2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2B30E81D" w14:textId="77777777" w:rsidR="009E44C2" w:rsidRDefault="009E44C2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0E456972" w14:textId="77777777" w:rsidR="009E44C2" w:rsidRDefault="009E44C2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17EAE3C7" w14:textId="77777777" w:rsidR="009E44C2" w:rsidRDefault="009E44C2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293106F6" w14:textId="77777777" w:rsidR="009E44C2" w:rsidRDefault="009E44C2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58E4D1A6" w14:textId="77777777" w:rsidR="009E44C2" w:rsidRDefault="009E44C2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5D4BB5AE" w14:textId="77777777" w:rsidR="009E44C2" w:rsidRDefault="009E44C2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3C85AF06" w14:textId="77777777" w:rsidR="009E44C2" w:rsidRDefault="009E44C2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6F9858B6" w14:textId="77777777" w:rsidR="009E44C2" w:rsidRDefault="009E44C2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42902EA9" w14:textId="77777777" w:rsidR="009E44C2" w:rsidRDefault="009E44C2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24D5E1A9" w14:textId="77777777" w:rsidR="00A00FBF" w:rsidRDefault="00A00FBF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3C3ED3D5" w14:textId="77777777" w:rsidR="00A00FBF" w:rsidRDefault="00A00FBF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51515823" w14:textId="77777777" w:rsidR="00A00FBF" w:rsidRDefault="00A00FBF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38AF14AD" w14:textId="77777777" w:rsidR="00A00FBF" w:rsidRDefault="00A00FBF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2FB90225" w14:textId="77777777" w:rsidR="00A00FBF" w:rsidRDefault="00A00FBF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6794225A" w14:textId="77777777" w:rsidR="00A00FBF" w:rsidRDefault="00A00FBF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38F6B987" w14:textId="77777777" w:rsidR="00A00FBF" w:rsidRDefault="00A00FBF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6F4DA37E" w14:textId="77777777" w:rsidR="00823D9A" w:rsidRDefault="00823D9A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43FF5901" w14:textId="77777777" w:rsidR="007A6203" w:rsidRPr="001C4A98" w:rsidRDefault="007A6203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1C4A98">
        <w:rPr>
          <w:b/>
          <w:bCs/>
          <w:sz w:val="28"/>
          <w:szCs w:val="28"/>
        </w:rPr>
        <w:lastRenderedPageBreak/>
        <w:t>БИБЛИОГРАФИЯ</w:t>
      </w:r>
      <w:r w:rsidRPr="001C4A98" w:rsidDel="00490759">
        <w:rPr>
          <w:b/>
          <w:bCs/>
          <w:sz w:val="28"/>
          <w:szCs w:val="28"/>
        </w:rPr>
        <w:t xml:space="preserve"> </w:t>
      </w:r>
    </w:p>
    <w:p w14:paraId="36064CE3" w14:textId="77777777" w:rsidR="007A6203" w:rsidRPr="001C4A98" w:rsidRDefault="007A6203" w:rsidP="007A6203">
      <w:pPr>
        <w:spacing w:after="120" w:line="240" w:lineRule="auto"/>
        <w:jc w:val="center"/>
        <w:rPr>
          <w:b/>
          <w:bCs/>
          <w:sz w:val="24"/>
          <w:szCs w:val="24"/>
        </w:rPr>
      </w:pPr>
    </w:p>
    <w:p w14:paraId="2AC06BEB" w14:textId="77777777" w:rsidR="007A6203" w:rsidRPr="001C4A98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Регламент (ЕО) № 765/2008</w:t>
      </w:r>
    </w:p>
    <w:p w14:paraId="32F8ECD7" w14:textId="77777777" w:rsidR="007A6203" w:rsidRPr="001C4A98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Закон за електронното управление</w:t>
      </w:r>
    </w:p>
    <w:p w14:paraId="12A2BF1D" w14:textId="77777777" w:rsidR="007A6203" w:rsidRPr="001C4A98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Закон за киберсигурността</w:t>
      </w:r>
    </w:p>
    <w:p w14:paraId="088A6832" w14:textId="77777777" w:rsidR="007A6203" w:rsidRPr="001C4A98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Закон за електронния документ и електронните удостоверителни услуги</w:t>
      </w:r>
    </w:p>
    <w:p w14:paraId="40CC0388" w14:textId="77777777" w:rsidR="007A6203" w:rsidRPr="001C4A98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Закон за електронната идентификация</w:t>
      </w:r>
    </w:p>
    <w:p w14:paraId="116A29C2" w14:textId="1A145341" w:rsidR="00854C83" w:rsidRPr="001C4A98" w:rsidRDefault="00854C8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Закон за измерванията</w:t>
      </w:r>
    </w:p>
    <w:p w14:paraId="6DB0492D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Наредба </w:t>
      </w:r>
      <w:r w:rsidRPr="001C4A98">
        <w:rPr>
          <w:bCs/>
          <w:sz w:val="24"/>
          <w:szCs w:val="24"/>
        </w:rPr>
        <w:t xml:space="preserve">за общите изисквания към информационните системи, регистрите и електронните административни услуги </w:t>
      </w:r>
    </w:p>
    <w:p w14:paraId="1EF43C36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Наредба</w:t>
      </w:r>
      <w:r w:rsidRPr="001C4A98">
        <w:rPr>
          <w:bCs/>
          <w:sz w:val="24"/>
          <w:szCs w:val="24"/>
        </w:rPr>
        <w:t xml:space="preserve"> за минималните изисквания за мрежова и информационна сигурност </w:t>
      </w:r>
    </w:p>
    <w:p w14:paraId="1AB696A5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Наредба </w:t>
      </w:r>
      <w:r w:rsidRPr="001C4A98">
        <w:rPr>
          <w:bCs/>
          <w:sz w:val="24"/>
          <w:szCs w:val="24"/>
        </w:rPr>
        <w:t>за съществените изисквания и оценяване на съответствието на електрически съоръжения, предназначени за използване в определени граници на напрежението</w:t>
      </w:r>
    </w:p>
    <w:p w14:paraId="69BE062A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Наредба </w:t>
      </w:r>
      <w:r w:rsidRPr="001C4A98">
        <w:rPr>
          <w:bCs/>
          <w:sz w:val="24"/>
          <w:szCs w:val="24"/>
        </w:rPr>
        <w:t>за условията и реда за пускане на пазара на електрическо и електронно оборудване във връзка с ограниченията за употреба на определени опасни вещества</w:t>
      </w:r>
    </w:p>
    <w:p w14:paraId="39FF6B60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Наредба </w:t>
      </w:r>
      <w:r w:rsidRPr="001C4A98">
        <w:rPr>
          <w:bCs/>
          <w:sz w:val="24"/>
          <w:szCs w:val="24"/>
        </w:rPr>
        <w:t>за излязлото от употреба електрическо и електронно оборудване</w:t>
      </w:r>
    </w:p>
    <w:p w14:paraId="16C70DDB" w14:textId="4E3BF5A8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proofErr w:type="spellStart"/>
      <w:r w:rsidRPr="001C4A98">
        <w:rPr>
          <w:b/>
          <w:bCs/>
          <w:sz w:val="24"/>
          <w:szCs w:val="24"/>
        </w:rPr>
        <w:t>Recommendation</w:t>
      </w:r>
      <w:proofErr w:type="spellEnd"/>
      <w:r w:rsidRPr="001C4A98">
        <w:rPr>
          <w:b/>
          <w:bCs/>
          <w:sz w:val="24"/>
          <w:szCs w:val="24"/>
        </w:rPr>
        <w:t xml:space="preserve"> CM/</w:t>
      </w:r>
      <w:proofErr w:type="spellStart"/>
      <w:r w:rsidRPr="001C4A98">
        <w:rPr>
          <w:b/>
          <w:bCs/>
          <w:sz w:val="24"/>
          <w:szCs w:val="24"/>
        </w:rPr>
        <w:t>Rec</w:t>
      </w:r>
      <w:proofErr w:type="spellEnd"/>
      <w:r w:rsidRPr="001C4A98">
        <w:rPr>
          <w:b/>
          <w:bCs/>
          <w:sz w:val="24"/>
          <w:szCs w:val="24"/>
        </w:rPr>
        <w:t xml:space="preserve">(2017)5 </w:t>
      </w:r>
      <w:proofErr w:type="spellStart"/>
      <w:r w:rsidRPr="001C4A98">
        <w:rPr>
          <w:bCs/>
          <w:sz w:val="24"/>
          <w:szCs w:val="24"/>
        </w:rPr>
        <w:t>of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the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Committee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of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Ministers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to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member</w:t>
      </w:r>
      <w:proofErr w:type="spellEnd"/>
      <w:r w:rsidRPr="001C4A98">
        <w:rPr>
          <w:bCs/>
          <w:sz w:val="24"/>
          <w:szCs w:val="24"/>
        </w:rPr>
        <w:t xml:space="preserve"> States</w:t>
      </w:r>
    </w:p>
    <w:p w14:paraId="6D6B4513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proofErr w:type="spellStart"/>
      <w:r w:rsidRPr="001C4A98">
        <w:rPr>
          <w:bCs/>
          <w:sz w:val="24"/>
          <w:szCs w:val="24"/>
        </w:rPr>
        <w:t>on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standards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for</w:t>
      </w:r>
      <w:proofErr w:type="spellEnd"/>
      <w:r w:rsidRPr="001C4A98">
        <w:rPr>
          <w:bCs/>
          <w:sz w:val="24"/>
          <w:szCs w:val="24"/>
        </w:rPr>
        <w:t xml:space="preserve"> e-</w:t>
      </w:r>
      <w:proofErr w:type="spellStart"/>
      <w:r w:rsidRPr="001C4A98">
        <w:rPr>
          <w:bCs/>
          <w:sz w:val="24"/>
          <w:szCs w:val="24"/>
        </w:rPr>
        <w:t>voting</w:t>
      </w:r>
      <w:proofErr w:type="spellEnd"/>
    </w:p>
    <w:p w14:paraId="5F66C8A9" w14:textId="58C53999" w:rsidR="007A6203" w:rsidRPr="001C4A98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Решение № 768/2008/ЕО </w:t>
      </w:r>
      <w:r w:rsidRPr="001C4A98">
        <w:rPr>
          <w:bCs/>
          <w:sz w:val="24"/>
          <w:szCs w:val="24"/>
        </w:rPr>
        <w:t>на ЕП и на Съвета от 9 юли 2008 година относно обща рамка за предлагането на пазара на продукти и за отмяна на Решение 93/465/ЕИО</w:t>
      </w:r>
    </w:p>
    <w:p w14:paraId="052CECD7" w14:textId="77777777" w:rsidR="007A6203" w:rsidRPr="001C4A98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БДС EN ISO/IEC 17000 </w:t>
      </w:r>
      <w:r w:rsidRPr="001C4A98">
        <w:rPr>
          <w:sz w:val="24"/>
          <w:szCs w:val="24"/>
        </w:rPr>
        <w:t>Оценяване на съответствието. Речник и общи принципи (ISO/IEC 17000:2020)</w:t>
      </w:r>
    </w:p>
    <w:p w14:paraId="2786A7BC" w14:textId="77777777" w:rsidR="007A6203" w:rsidRPr="001C4A98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БДС EN ISO 19011 </w:t>
      </w:r>
      <w:r w:rsidRPr="001C4A98">
        <w:rPr>
          <w:bCs/>
          <w:sz w:val="24"/>
          <w:szCs w:val="24"/>
        </w:rPr>
        <w:t>Указания за извършване на одит на системи за управление</w:t>
      </w:r>
    </w:p>
    <w:p w14:paraId="73DD908A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БДС EN ISO/IEC 17020 </w:t>
      </w:r>
      <w:r w:rsidRPr="001C4A98">
        <w:rPr>
          <w:bCs/>
          <w:sz w:val="24"/>
          <w:szCs w:val="24"/>
        </w:rPr>
        <w:t>Оценяване на съответствието. Изисквания за дейността на различни видове органи, извършващи контрол</w:t>
      </w:r>
    </w:p>
    <w:p w14:paraId="15FEF5A5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БДС EN ISO/IEC 17025 </w:t>
      </w:r>
      <w:r w:rsidRPr="001C4A98">
        <w:rPr>
          <w:bCs/>
          <w:sz w:val="24"/>
          <w:szCs w:val="24"/>
        </w:rPr>
        <w:t xml:space="preserve">Оценяване на съответствието. </w:t>
      </w:r>
      <w:r w:rsidRPr="001C4A98">
        <w:rPr>
          <w:sz w:val="24"/>
          <w:szCs w:val="24"/>
        </w:rPr>
        <w:t>Общи изисквания за компетентността на лаборатории за изпитване и калибриране</w:t>
      </w:r>
    </w:p>
    <w:p w14:paraId="712289FD" w14:textId="4C946313" w:rsidR="007A6203" w:rsidRPr="001C4A98" w:rsidRDefault="007A6203" w:rsidP="007A6203">
      <w:pPr>
        <w:spacing w:after="120" w:line="240" w:lineRule="auto"/>
        <w:jc w:val="both"/>
        <w:rPr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БДС EN ISO/IEC 17065 </w:t>
      </w:r>
      <w:r w:rsidRPr="001C4A98">
        <w:rPr>
          <w:sz w:val="24"/>
          <w:szCs w:val="24"/>
        </w:rPr>
        <w:t>Оценяване на съответствието. Изисквания към органите за сертификация на продукти, процеси и услуги (ISO/IEC 17065:2012)</w:t>
      </w:r>
    </w:p>
    <w:p w14:paraId="5514A0F3" w14:textId="77777777" w:rsidR="007A6203" w:rsidRPr="001C4A98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БДС EN ISO/IEC 17067 </w:t>
      </w:r>
      <w:r w:rsidRPr="001C4A98">
        <w:rPr>
          <w:sz w:val="24"/>
          <w:szCs w:val="24"/>
        </w:rPr>
        <w:t>Оценяване на съответствието. Основни принципи на сертификацията на продукти и указания за схеми за сертификация на продукти (ISO/IEC 17067:2013)</w:t>
      </w:r>
    </w:p>
    <w:p w14:paraId="136F75CD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ISO/IEC 15408-1:2009 </w:t>
      </w:r>
      <w:proofErr w:type="spellStart"/>
      <w:r w:rsidRPr="001C4A98">
        <w:rPr>
          <w:bCs/>
          <w:sz w:val="24"/>
          <w:szCs w:val="24"/>
        </w:rPr>
        <w:t>Information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technology</w:t>
      </w:r>
      <w:proofErr w:type="spellEnd"/>
      <w:r w:rsidRPr="001C4A98">
        <w:rPr>
          <w:bCs/>
          <w:sz w:val="24"/>
          <w:szCs w:val="24"/>
        </w:rPr>
        <w:t xml:space="preserve"> — </w:t>
      </w:r>
      <w:proofErr w:type="spellStart"/>
      <w:r w:rsidRPr="001C4A98">
        <w:rPr>
          <w:bCs/>
          <w:sz w:val="24"/>
          <w:szCs w:val="24"/>
        </w:rPr>
        <w:t>Security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techniques</w:t>
      </w:r>
      <w:proofErr w:type="spellEnd"/>
      <w:r w:rsidRPr="001C4A98">
        <w:rPr>
          <w:bCs/>
          <w:sz w:val="24"/>
          <w:szCs w:val="24"/>
        </w:rPr>
        <w:t xml:space="preserve"> — </w:t>
      </w:r>
      <w:proofErr w:type="spellStart"/>
      <w:r w:rsidRPr="001C4A98">
        <w:rPr>
          <w:bCs/>
          <w:sz w:val="24"/>
          <w:szCs w:val="24"/>
        </w:rPr>
        <w:t>Evaluation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criteria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for</w:t>
      </w:r>
      <w:proofErr w:type="spellEnd"/>
      <w:r w:rsidRPr="001C4A98">
        <w:rPr>
          <w:bCs/>
          <w:sz w:val="24"/>
          <w:szCs w:val="24"/>
        </w:rPr>
        <w:t xml:space="preserve"> IT </w:t>
      </w:r>
      <w:proofErr w:type="spellStart"/>
      <w:r w:rsidRPr="001C4A98">
        <w:rPr>
          <w:bCs/>
          <w:sz w:val="24"/>
          <w:szCs w:val="24"/>
        </w:rPr>
        <w:t>security</w:t>
      </w:r>
      <w:proofErr w:type="spellEnd"/>
      <w:r w:rsidRPr="001C4A98">
        <w:rPr>
          <w:bCs/>
          <w:sz w:val="24"/>
          <w:szCs w:val="24"/>
        </w:rPr>
        <w:t xml:space="preserve"> — </w:t>
      </w:r>
      <w:proofErr w:type="spellStart"/>
      <w:r w:rsidRPr="001C4A98">
        <w:rPr>
          <w:bCs/>
          <w:sz w:val="24"/>
          <w:szCs w:val="24"/>
        </w:rPr>
        <w:t>Part</w:t>
      </w:r>
      <w:proofErr w:type="spellEnd"/>
      <w:r w:rsidRPr="001C4A98">
        <w:rPr>
          <w:bCs/>
          <w:sz w:val="24"/>
          <w:szCs w:val="24"/>
        </w:rPr>
        <w:t xml:space="preserve"> 1: </w:t>
      </w:r>
      <w:proofErr w:type="spellStart"/>
      <w:r w:rsidRPr="001C4A98">
        <w:rPr>
          <w:bCs/>
          <w:sz w:val="24"/>
          <w:szCs w:val="24"/>
        </w:rPr>
        <w:t>Introduction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and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general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model</w:t>
      </w:r>
      <w:proofErr w:type="spellEnd"/>
    </w:p>
    <w:p w14:paraId="3607060D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lastRenderedPageBreak/>
        <w:t xml:space="preserve">ISO/IEC 15408-2:2008 </w:t>
      </w:r>
      <w:proofErr w:type="spellStart"/>
      <w:r w:rsidRPr="001C4A98">
        <w:rPr>
          <w:bCs/>
          <w:sz w:val="24"/>
          <w:szCs w:val="24"/>
        </w:rPr>
        <w:t>Information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technology</w:t>
      </w:r>
      <w:proofErr w:type="spellEnd"/>
      <w:r w:rsidRPr="001C4A98">
        <w:rPr>
          <w:bCs/>
          <w:sz w:val="24"/>
          <w:szCs w:val="24"/>
        </w:rPr>
        <w:t xml:space="preserve"> — </w:t>
      </w:r>
      <w:proofErr w:type="spellStart"/>
      <w:r w:rsidRPr="001C4A98">
        <w:rPr>
          <w:bCs/>
          <w:sz w:val="24"/>
          <w:szCs w:val="24"/>
        </w:rPr>
        <w:t>Security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techniques</w:t>
      </w:r>
      <w:proofErr w:type="spellEnd"/>
      <w:r w:rsidRPr="001C4A98">
        <w:rPr>
          <w:bCs/>
          <w:sz w:val="24"/>
          <w:szCs w:val="24"/>
        </w:rPr>
        <w:t xml:space="preserve"> — </w:t>
      </w:r>
      <w:proofErr w:type="spellStart"/>
      <w:r w:rsidRPr="001C4A98">
        <w:rPr>
          <w:bCs/>
          <w:sz w:val="24"/>
          <w:szCs w:val="24"/>
        </w:rPr>
        <w:t>Evaluation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criteria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for</w:t>
      </w:r>
      <w:proofErr w:type="spellEnd"/>
      <w:r w:rsidRPr="001C4A98">
        <w:rPr>
          <w:bCs/>
          <w:sz w:val="24"/>
          <w:szCs w:val="24"/>
        </w:rPr>
        <w:t xml:space="preserve"> IT </w:t>
      </w:r>
      <w:proofErr w:type="spellStart"/>
      <w:r w:rsidRPr="001C4A98">
        <w:rPr>
          <w:bCs/>
          <w:sz w:val="24"/>
          <w:szCs w:val="24"/>
        </w:rPr>
        <w:t>security</w:t>
      </w:r>
      <w:proofErr w:type="spellEnd"/>
      <w:r w:rsidRPr="001C4A98">
        <w:rPr>
          <w:bCs/>
          <w:sz w:val="24"/>
          <w:szCs w:val="24"/>
        </w:rPr>
        <w:t xml:space="preserve"> — </w:t>
      </w:r>
      <w:proofErr w:type="spellStart"/>
      <w:r w:rsidRPr="001C4A98">
        <w:rPr>
          <w:bCs/>
          <w:sz w:val="24"/>
          <w:szCs w:val="24"/>
        </w:rPr>
        <w:t>Part</w:t>
      </w:r>
      <w:proofErr w:type="spellEnd"/>
      <w:r w:rsidRPr="001C4A98">
        <w:rPr>
          <w:bCs/>
          <w:sz w:val="24"/>
          <w:szCs w:val="24"/>
        </w:rPr>
        <w:t xml:space="preserve"> 2: </w:t>
      </w:r>
      <w:proofErr w:type="spellStart"/>
      <w:r w:rsidRPr="001C4A98">
        <w:rPr>
          <w:bCs/>
          <w:sz w:val="24"/>
          <w:szCs w:val="24"/>
        </w:rPr>
        <w:t>Security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functional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components</w:t>
      </w:r>
      <w:proofErr w:type="spellEnd"/>
    </w:p>
    <w:p w14:paraId="467FECA0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ISO/IEC 15408-3:2008 </w:t>
      </w:r>
      <w:proofErr w:type="spellStart"/>
      <w:r w:rsidRPr="001C4A98">
        <w:rPr>
          <w:bCs/>
          <w:sz w:val="24"/>
          <w:szCs w:val="24"/>
        </w:rPr>
        <w:t>Information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technology</w:t>
      </w:r>
      <w:proofErr w:type="spellEnd"/>
      <w:r w:rsidRPr="001C4A98">
        <w:rPr>
          <w:bCs/>
          <w:sz w:val="24"/>
          <w:szCs w:val="24"/>
        </w:rPr>
        <w:t xml:space="preserve"> — </w:t>
      </w:r>
      <w:proofErr w:type="spellStart"/>
      <w:r w:rsidRPr="001C4A98">
        <w:rPr>
          <w:bCs/>
          <w:sz w:val="24"/>
          <w:szCs w:val="24"/>
        </w:rPr>
        <w:t>Security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techniques</w:t>
      </w:r>
      <w:proofErr w:type="spellEnd"/>
      <w:r w:rsidRPr="001C4A98">
        <w:rPr>
          <w:bCs/>
          <w:sz w:val="24"/>
          <w:szCs w:val="24"/>
        </w:rPr>
        <w:t xml:space="preserve"> — </w:t>
      </w:r>
      <w:proofErr w:type="spellStart"/>
      <w:r w:rsidRPr="001C4A98">
        <w:rPr>
          <w:bCs/>
          <w:sz w:val="24"/>
          <w:szCs w:val="24"/>
        </w:rPr>
        <w:t>Evaluation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criteria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for</w:t>
      </w:r>
      <w:proofErr w:type="spellEnd"/>
      <w:r w:rsidRPr="001C4A98">
        <w:rPr>
          <w:bCs/>
          <w:sz w:val="24"/>
          <w:szCs w:val="24"/>
        </w:rPr>
        <w:t xml:space="preserve"> IT </w:t>
      </w:r>
      <w:proofErr w:type="spellStart"/>
      <w:r w:rsidRPr="001C4A98">
        <w:rPr>
          <w:bCs/>
          <w:sz w:val="24"/>
          <w:szCs w:val="24"/>
        </w:rPr>
        <w:t>security</w:t>
      </w:r>
      <w:proofErr w:type="spellEnd"/>
      <w:r w:rsidRPr="001C4A98">
        <w:rPr>
          <w:bCs/>
          <w:sz w:val="24"/>
          <w:szCs w:val="24"/>
        </w:rPr>
        <w:t xml:space="preserve"> — </w:t>
      </w:r>
      <w:proofErr w:type="spellStart"/>
      <w:r w:rsidRPr="001C4A98">
        <w:rPr>
          <w:bCs/>
          <w:sz w:val="24"/>
          <w:szCs w:val="24"/>
        </w:rPr>
        <w:t>Part</w:t>
      </w:r>
      <w:proofErr w:type="spellEnd"/>
      <w:r w:rsidRPr="001C4A98">
        <w:rPr>
          <w:bCs/>
          <w:sz w:val="24"/>
          <w:szCs w:val="24"/>
        </w:rPr>
        <w:t xml:space="preserve"> 3: </w:t>
      </w:r>
      <w:proofErr w:type="spellStart"/>
      <w:r w:rsidRPr="001C4A98">
        <w:rPr>
          <w:bCs/>
          <w:sz w:val="24"/>
          <w:szCs w:val="24"/>
        </w:rPr>
        <w:t>Security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assurance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components</w:t>
      </w:r>
      <w:proofErr w:type="spellEnd"/>
    </w:p>
    <w:p w14:paraId="34A5900A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БДС ISO/IEC 20000-1:2018 Информационни технологии. Управление на услуги. Част 1:</w:t>
      </w:r>
      <w:r w:rsidRPr="001C4A98">
        <w:rPr>
          <w:bCs/>
          <w:sz w:val="24"/>
          <w:szCs w:val="24"/>
        </w:rPr>
        <w:t xml:space="preserve"> Изисквания относно системата за управление на услуги (ISO/IEC 20000-1:2018)</w:t>
      </w:r>
    </w:p>
    <w:p w14:paraId="4E93A846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БДС ISO/IEC 20000-2:2019</w:t>
      </w:r>
      <w:r w:rsidRPr="001C4A98">
        <w:rPr>
          <w:bCs/>
          <w:sz w:val="24"/>
          <w:szCs w:val="24"/>
        </w:rPr>
        <w:t xml:space="preserve"> Информационни технологии. Управление на услуги. Част 2: Ръководство за прилагане на системи за управление на услуги (ISO/IEC 20000-2:2019)</w:t>
      </w:r>
    </w:p>
    <w:p w14:paraId="11AB5AB4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Всички приложими стандарти от групата ISO/IEC 200xx</w:t>
      </w:r>
    </w:p>
    <w:p w14:paraId="75C353A0" w14:textId="77777777" w:rsidR="007A6203" w:rsidRPr="001C4A98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БДС EN ISO/IEC 2700:2020 </w:t>
      </w:r>
      <w:r w:rsidRPr="001C4A98">
        <w:rPr>
          <w:sz w:val="24"/>
          <w:szCs w:val="24"/>
        </w:rPr>
        <w:t>Информационни технологии. Методи за сигурност. Системи за управление на сигурността на информацията. Общ преглед и речник</w:t>
      </w:r>
    </w:p>
    <w:p w14:paraId="616C0FB8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БДС EN ISO/IEC 27001:2017</w:t>
      </w:r>
      <w:r w:rsidRPr="001C4A98">
        <w:rPr>
          <w:bCs/>
          <w:sz w:val="24"/>
          <w:szCs w:val="24"/>
        </w:rPr>
        <w:t xml:space="preserve"> Информационни технологии. Методи за сигурност. Системи за управление на сигурността на информацията. Изисквания (ISO/IEC 27001:2013, включително </w:t>
      </w:r>
      <w:proofErr w:type="spellStart"/>
      <w:r w:rsidRPr="001C4A98">
        <w:rPr>
          <w:bCs/>
          <w:sz w:val="24"/>
          <w:szCs w:val="24"/>
        </w:rPr>
        <w:t>Cor</w:t>
      </w:r>
      <w:proofErr w:type="spellEnd"/>
      <w:r w:rsidRPr="001C4A98">
        <w:rPr>
          <w:bCs/>
          <w:sz w:val="24"/>
          <w:szCs w:val="24"/>
        </w:rPr>
        <w:t xml:space="preserve">. 1:2014 и </w:t>
      </w:r>
      <w:proofErr w:type="spellStart"/>
      <w:r w:rsidRPr="001C4A98">
        <w:rPr>
          <w:bCs/>
          <w:sz w:val="24"/>
          <w:szCs w:val="24"/>
        </w:rPr>
        <w:t>Cor</w:t>
      </w:r>
      <w:proofErr w:type="spellEnd"/>
      <w:r w:rsidRPr="001C4A98">
        <w:rPr>
          <w:bCs/>
          <w:sz w:val="24"/>
          <w:szCs w:val="24"/>
        </w:rPr>
        <w:t>. 2:2015)</w:t>
      </w:r>
    </w:p>
    <w:p w14:paraId="09A3E395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БДС ISO/IEC 27005:2018</w:t>
      </w:r>
      <w:r w:rsidRPr="001C4A98">
        <w:rPr>
          <w:bCs/>
          <w:sz w:val="24"/>
          <w:szCs w:val="24"/>
        </w:rPr>
        <w:t xml:space="preserve"> Информационни технологии. Методи за сигурност. Управление на риска за сигурността на информацията. </w:t>
      </w:r>
    </w:p>
    <w:p w14:paraId="6F5E8785" w14:textId="77777777" w:rsidR="007A6203" w:rsidRPr="001C4A98" w:rsidRDefault="007A6203" w:rsidP="007A6203">
      <w:pPr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Всички приложими стандарти от групата EN ISO/IEC 270хх</w:t>
      </w:r>
    </w:p>
    <w:p w14:paraId="1881E298" w14:textId="77777777" w:rsidR="007A6203" w:rsidRPr="001C4A98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БДС ISO 31000 </w:t>
      </w:r>
      <w:r w:rsidRPr="001C4A98">
        <w:rPr>
          <w:bCs/>
          <w:sz w:val="24"/>
          <w:szCs w:val="24"/>
        </w:rPr>
        <w:t>Управление на риска. Указания</w:t>
      </w:r>
    </w:p>
    <w:p w14:paraId="49DE9CA3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БДС EN 31010 </w:t>
      </w:r>
      <w:r w:rsidRPr="001C4A98">
        <w:rPr>
          <w:bCs/>
          <w:sz w:val="24"/>
          <w:szCs w:val="24"/>
        </w:rPr>
        <w:t>Управление на риска. Методи за оценяване на риска</w:t>
      </w:r>
    </w:p>
    <w:p w14:paraId="7C2BF4A0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NIST SP 800-53 </w:t>
      </w:r>
      <w:proofErr w:type="spellStart"/>
      <w:r w:rsidRPr="001C4A98">
        <w:rPr>
          <w:bCs/>
          <w:sz w:val="24"/>
          <w:szCs w:val="24"/>
        </w:rPr>
        <w:t>Security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and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Privacy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Controls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for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Information</w:t>
      </w:r>
      <w:proofErr w:type="spellEnd"/>
      <w:r w:rsidRPr="001C4A98">
        <w:rPr>
          <w:bCs/>
          <w:sz w:val="24"/>
          <w:szCs w:val="24"/>
        </w:rPr>
        <w:t xml:space="preserve"> Systems </w:t>
      </w:r>
      <w:proofErr w:type="spellStart"/>
      <w:r w:rsidRPr="001C4A98">
        <w:rPr>
          <w:bCs/>
          <w:sz w:val="24"/>
          <w:szCs w:val="24"/>
        </w:rPr>
        <w:t>and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Organizations</w:t>
      </w:r>
      <w:proofErr w:type="spellEnd"/>
    </w:p>
    <w:p w14:paraId="3D548F0B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>NIST SP 800-30-1</w:t>
      </w:r>
      <w:r w:rsidRPr="001C4A98">
        <w:rPr>
          <w:bCs/>
          <w:sz w:val="24"/>
          <w:szCs w:val="24"/>
        </w:rPr>
        <w:t xml:space="preserve">: </w:t>
      </w:r>
      <w:proofErr w:type="spellStart"/>
      <w:r w:rsidRPr="001C4A98">
        <w:rPr>
          <w:bCs/>
          <w:sz w:val="24"/>
          <w:szCs w:val="24"/>
        </w:rPr>
        <w:t>Guide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forConducting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Risk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Assessments</w:t>
      </w:r>
      <w:proofErr w:type="spellEnd"/>
      <w:r w:rsidRPr="001C4A98">
        <w:rPr>
          <w:bCs/>
          <w:sz w:val="24"/>
          <w:szCs w:val="24"/>
        </w:rPr>
        <w:t xml:space="preserve"> </w:t>
      </w:r>
    </w:p>
    <w:p w14:paraId="700068A4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ISO/IEC 7816-1;2;3….. </w:t>
      </w:r>
      <w:proofErr w:type="spellStart"/>
      <w:r w:rsidRPr="001C4A98">
        <w:rPr>
          <w:bCs/>
          <w:sz w:val="24"/>
          <w:szCs w:val="24"/>
        </w:rPr>
        <w:t>Identification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cards</w:t>
      </w:r>
      <w:proofErr w:type="spellEnd"/>
      <w:r w:rsidRPr="001C4A98">
        <w:rPr>
          <w:bCs/>
          <w:sz w:val="24"/>
          <w:szCs w:val="24"/>
        </w:rPr>
        <w:t xml:space="preserve"> — </w:t>
      </w:r>
      <w:proofErr w:type="spellStart"/>
      <w:r w:rsidRPr="001C4A98">
        <w:rPr>
          <w:bCs/>
          <w:sz w:val="24"/>
          <w:szCs w:val="24"/>
        </w:rPr>
        <w:t>Integrated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circuit</w:t>
      </w:r>
      <w:proofErr w:type="spellEnd"/>
      <w:r w:rsidRPr="001C4A98">
        <w:rPr>
          <w:bCs/>
          <w:sz w:val="24"/>
          <w:szCs w:val="24"/>
        </w:rPr>
        <w:t xml:space="preserve"> </w:t>
      </w:r>
      <w:proofErr w:type="spellStart"/>
      <w:r w:rsidRPr="001C4A98">
        <w:rPr>
          <w:bCs/>
          <w:sz w:val="24"/>
          <w:szCs w:val="24"/>
        </w:rPr>
        <w:t>cards</w:t>
      </w:r>
      <w:proofErr w:type="spellEnd"/>
      <w:r w:rsidRPr="001C4A98">
        <w:rPr>
          <w:bCs/>
          <w:sz w:val="24"/>
          <w:szCs w:val="24"/>
        </w:rPr>
        <w:t>:</w:t>
      </w:r>
    </w:p>
    <w:p w14:paraId="5ABB5F00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Part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 1: Cards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with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contacts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 —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Physical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characteristics</w:t>
      </w:r>
      <w:proofErr w:type="spellEnd"/>
    </w:p>
    <w:p w14:paraId="613873EA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Part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 2: Cards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with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contacts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 —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Dimensions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and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location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of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the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contacts</w:t>
      </w:r>
      <w:proofErr w:type="spellEnd"/>
    </w:p>
    <w:p w14:paraId="4DC3CDF2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Part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 3: Cards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with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contacts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 —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Electrical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interface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and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transmission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protocols</w:t>
      </w:r>
      <w:proofErr w:type="spellEnd"/>
    </w:p>
    <w:p w14:paraId="6BC09301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Part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 4: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Organization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,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security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and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commands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for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interchange</w:t>
      </w:r>
      <w:proofErr w:type="spellEnd"/>
    </w:p>
    <w:p w14:paraId="55D48240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Part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 5: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Registration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of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application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providers</w:t>
      </w:r>
      <w:proofErr w:type="spellEnd"/>
    </w:p>
    <w:p w14:paraId="5495B8E0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Part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 6: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Interindustry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data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elements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for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interchange</w:t>
      </w:r>
      <w:proofErr w:type="spellEnd"/>
    </w:p>
    <w:p w14:paraId="0EE24B3C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Part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 7: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Interindustry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commands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for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Structured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Card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Query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Language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(SCQL)</w:t>
      </w:r>
    </w:p>
    <w:p w14:paraId="1A6CF8D1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Part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 8: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Commands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for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security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operations</w:t>
      </w:r>
      <w:proofErr w:type="spellEnd"/>
    </w:p>
    <w:p w14:paraId="6192305B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Part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 9: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Commands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for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card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management</w:t>
      </w:r>
      <w:proofErr w:type="spellEnd"/>
    </w:p>
    <w:p w14:paraId="4056095F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Part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 10: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Electronic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signals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and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answer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to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reset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for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synchronous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cards</w:t>
      </w:r>
      <w:proofErr w:type="spellEnd"/>
    </w:p>
    <w:p w14:paraId="3FB25415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Part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 11: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Personal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verification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through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biometric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methods</w:t>
      </w:r>
      <w:proofErr w:type="spellEnd"/>
    </w:p>
    <w:p w14:paraId="375089EA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Part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 12: Cards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with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contacts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 — USB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electrical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interface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and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operating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procedures</w:t>
      </w:r>
      <w:proofErr w:type="spellEnd"/>
    </w:p>
    <w:p w14:paraId="27C79925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Part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 13: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Commands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for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application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management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in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a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multi-application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environment</w:t>
      </w:r>
      <w:proofErr w:type="spellEnd"/>
    </w:p>
    <w:p w14:paraId="2F4AF0B1" w14:textId="77777777" w:rsidR="007A6203" w:rsidRPr="001C4A98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C4A98">
        <w:rPr>
          <w:rStyle w:val="sts-label"/>
          <w:rFonts w:ascii="Verdana" w:hAnsi="Verdana"/>
          <w:sz w:val="18"/>
          <w:szCs w:val="18"/>
        </w:rPr>
        <w:t>—</w:t>
      </w:r>
      <w:r w:rsidRPr="001C4A98">
        <w:rPr>
          <w:rFonts w:ascii="Verdana" w:hAnsi="Verdana"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Part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 15: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Cryptographic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information</w:t>
      </w:r>
      <w:proofErr w:type="spellEnd"/>
      <w:r w:rsidRPr="001C4A98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C4A98">
        <w:rPr>
          <w:rFonts w:ascii="Verdana" w:hAnsi="Verdana"/>
          <w:i/>
          <w:iCs/>
          <w:sz w:val="18"/>
          <w:szCs w:val="18"/>
        </w:rPr>
        <w:t>application</w:t>
      </w:r>
      <w:proofErr w:type="spellEnd"/>
    </w:p>
    <w:p w14:paraId="69007E61" w14:textId="77777777" w:rsidR="007A6203" w:rsidRPr="001C4A98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1C4A98">
        <w:rPr>
          <w:b/>
          <w:bCs/>
          <w:sz w:val="24"/>
          <w:szCs w:val="24"/>
        </w:rPr>
        <w:t xml:space="preserve">БДС EN 60950-1 </w:t>
      </w:r>
      <w:proofErr w:type="spellStart"/>
      <w:r w:rsidRPr="001C4A98">
        <w:rPr>
          <w:bCs/>
          <w:sz w:val="24"/>
          <w:szCs w:val="24"/>
        </w:rPr>
        <w:t>Information</w:t>
      </w:r>
      <w:proofErr w:type="spellEnd"/>
      <w:r w:rsidRPr="001C4A98">
        <w:rPr>
          <w:bCs/>
          <w:sz w:val="24"/>
          <w:szCs w:val="24"/>
        </w:rPr>
        <w:t xml:space="preserve"> Technology Equipment – Safety – </w:t>
      </w:r>
      <w:proofErr w:type="spellStart"/>
      <w:r w:rsidRPr="001C4A98">
        <w:rPr>
          <w:bCs/>
          <w:sz w:val="24"/>
          <w:szCs w:val="24"/>
        </w:rPr>
        <w:t>Part</w:t>
      </w:r>
      <w:proofErr w:type="spellEnd"/>
      <w:r w:rsidRPr="001C4A98">
        <w:rPr>
          <w:bCs/>
          <w:sz w:val="24"/>
          <w:szCs w:val="24"/>
        </w:rPr>
        <w:t xml:space="preserve"> 1: General </w:t>
      </w:r>
      <w:proofErr w:type="spellStart"/>
      <w:r w:rsidRPr="001C4A98">
        <w:rPr>
          <w:bCs/>
          <w:sz w:val="24"/>
          <w:szCs w:val="24"/>
        </w:rPr>
        <w:t>Requirements</w:t>
      </w:r>
      <w:proofErr w:type="spellEnd"/>
      <w:r w:rsidRPr="001C4A98">
        <w:rPr>
          <w:bCs/>
          <w:sz w:val="24"/>
          <w:szCs w:val="24"/>
        </w:rPr>
        <w:t xml:space="preserve"> (В сила до 20-12-2020, след тази дата е в сила БДС EN 62368-1)</w:t>
      </w:r>
    </w:p>
    <w:p w14:paraId="2B8B4B94" w14:textId="0C0DB62E" w:rsidR="007A6203" w:rsidRPr="001C4A98" w:rsidRDefault="007A6203" w:rsidP="00DA2FB2">
      <w:pPr>
        <w:spacing w:after="120" w:line="240" w:lineRule="auto"/>
        <w:jc w:val="both"/>
        <w:rPr>
          <w:b/>
          <w:bCs/>
          <w:i/>
          <w:sz w:val="26"/>
          <w:szCs w:val="26"/>
        </w:rPr>
      </w:pPr>
      <w:r w:rsidRPr="001C4A98">
        <w:rPr>
          <w:b/>
          <w:bCs/>
          <w:sz w:val="24"/>
          <w:szCs w:val="24"/>
        </w:rPr>
        <w:lastRenderedPageBreak/>
        <w:t xml:space="preserve">БДС EN 62368-1 </w:t>
      </w:r>
      <w:r w:rsidRPr="001C4A98">
        <w:rPr>
          <w:bCs/>
          <w:sz w:val="24"/>
          <w:szCs w:val="24"/>
        </w:rPr>
        <w:t>Аудио-/видеоустройства, устройства/съоръжения за информационни и комуникационни технологии. Част 1: Изисквания за безопасност</w:t>
      </w:r>
    </w:p>
    <w:sectPr w:rsidR="007A6203" w:rsidRPr="001C4A98" w:rsidSect="001B3787">
      <w:headerReference w:type="default" r:id="rId10"/>
      <w:footerReference w:type="default" r:id="rId11"/>
      <w:pgSz w:w="11906" w:h="16838" w:code="9"/>
      <w:pgMar w:top="1843" w:right="1134" w:bottom="170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A3438" w14:textId="77777777" w:rsidR="00671312" w:rsidRDefault="00671312">
      <w:r>
        <w:separator/>
      </w:r>
    </w:p>
  </w:endnote>
  <w:endnote w:type="continuationSeparator" w:id="0">
    <w:p w14:paraId="54934C79" w14:textId="77777777" w:rsidR="00671312" w:rsidRDefault="00671312">
      <w:r>
        <w:continuationSeparator/>
      </w:r>
    </w:p>
  </w:endnote>
  <w:endnote w:type="continuationNotice" w:id="1">
    <w:p w14:paraId="69A4FC73" w14:textId="77777777" w:rsidR="00671312" w:rsidRDefault="006713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148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67536" w14:textId="605C3660" w:rsidR="001C03FE" w:rsidRDefault="001C03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26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73D3CCB" w14:textId="208B5CDE" w:rsidR="001C03FE" w:rsidRDefault="001C03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9CD8D" w14:textId="77777777" w:rsidR="00671312" w:rsidRDefault="00671312">
      <w:r>
        <w:separator/>
      </w:r>
    </w:p>
  </w:footnote>
  <w:footnote w:type="continuationSeparator" w:id="0">
    <w:p w14:paraId="2AA8FD1C" w14:textId="77777777" w:rsidR="00671312" w:rsidRDefault="00671312">
      <w:r>
        <w:continuationSeparator/>
      </w:r>
    </w:p>
  </w:footnote>
  <w:footnote w:type="continuationNotice" w:id="1">
    <w:p w14:paraId="7C058B31" w14:textId="77777777" w:rsidR="00671312" w:rsidRDefault="006713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B39BC" w14:textId="77777777" w:rsidR="001C03FE" w:rsidRDefault="001C03FE" w:rsidP="006D165F">
    <w:pPr>
      <w:pStyle w:val="Header"/>
      <w:spacing w:after="0" w:line="240" w:lineRule="auto"/>
      <w:jc w:val="center"/>
    </w:pPr>
    <w:r>
      <w:t>Методика за удостоверяване на съответствието на доставения тип ТУМГ</w:t>
    </w:r>
  </w:p>
  <w:p w14:paraId="6C629838" w14:textId="6D5DBD4C" w:rsidR="001C03FE" w:rsidRDefault="001C03FE">
    <w:pPr>
      <w:pStyle w:val="Header"/>
    </w:pPr>
    <w:r>
      <w:object w:dxaOrig="12854" w:dyaOrig="211" w14:anchorId="0AEFD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6.4pt;height:6pt" o:ole="">
          <v:imagedata r:id="rId1" o:title=""/>
        </v:shape>
        <o:OLEObject Type="Embed" ProgID="Visio.Drawing.11" ShapeID="_x0000_i1026" DrawAspect="Content" ObjectID="_169684055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210" w:hanging="360"/>
      </w:pPr>
      <w:rPr>
        <w:rFonts w:ascii="Symbol" w:hAnsi="Symbol" w:cs="Symbol" w:hint="default"/>
      </w:rPr>
    </w:lvl>
  </w:abstractNum>
  <w:abstractNum w:abstractNumId="2">
    <w:nsid w:val="05036C4B"/>
    <w:multiLevelType w:val="multilevel"/>
    <w:tmpl w:val="6ED0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C1726"/>
    <w:multiLevelType w:val="hybridMultilevel"/>
    <w:tmpl w:val="77F09C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7C6BB7"/>
    <w:multiLevelType w:val="hybridMultilevel"/>
    <w:tmpl w:val="2BA47F5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FC3603"/>
    <w:multiLevelType w:val="hybridMultilevel"/>
    <w:tmpl w:val="17602F4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EB7CF8"/>
    <w:multiLevelType w:val="hybridMultilevel"/>
    <w:tmpl w:val="70D63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B2E61"/>
    <w:multiLevelType w:val="hybridMultilevel"/>
    <w:tmpl w:val="155CEC1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4B6FD1"/>
    <w:multiLevelType w:val="hybridMultilevel"/>
    <w:tmpl w:val="D7D4768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26437B"/>
    <w:multiLevelType w:val="hybridMultilevel"/>
    <w:tmpl w:val="F02695E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A5639D"/>
    <w:multiLevelType w:val="hybridMultilevel"/>
    <w:tmpl w:val="797E6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2F69DE"/>
    <w:multiLevelType w:val="hybridMultilevel"/>
    <w:tmpl w:val="FEEC6BF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0339D"/>
    <w:multiLevelType w:val="hybridMultilevel"/>
    <w:tmpl w:val="17602F42"/>
    <w:lvl w:ilvl="0" w:tplc="0409000F">
      <w:start w:val="1"/>
      <w:numFmt w:val="decimal"/>
      <w:lvlText w:val="%1."/>
      <w:lvlJc w:val="left"/>
      <w:pPr>
        <w:tabs>
          <w:tab w:val="num" w:pos="8014"/>
        </w:tabs>
        <w:ind w:left="8014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8669"/>
        </w:tabs>
        <w:ind w:left="8669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9389"/>
        </w:tabs>
        <w:ind w:left="938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0109"/>
        </w:tabs>
        <w:ind w:left="1010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0829"/>
        </w:tabs>
        <w:ind w:left="1082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11549"/>
        </w:tabs>
        <w:ind w:left="1154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2269"/>
        </w:tabs>
        <w:ind w:left="1226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12989"/>
        </w:tabs>
        <w:ind w:left="1298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13709"/>
        </w:tabs>
        <w:ind w:left="13709" w:hanging="180"/>
      </w:pPr>
      <w:rPr>
        <w:rFonts w:cs="Times New Roman"/>
      </w:rPr>
    </w:lvl>
  </w:abstractNum>
  <w:abstractNum w:abstractNumId="13">
    <w:nsid w:val="5BDD0271"/>
    <w:multiLevelType w:val="hybridMultilevel"/>
    <w:tmpl w:val="BDB2C858"/>
    <w:lvl w:ilvl="0" w:tplc="6D968A8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F2A3B"/>
    <w:multiLevelType w:val="hybridMultilevel"/>
    <w:tmpl w:val="472E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91F7C"/>
    <w:multiLevelType w:val="hybridMultilevel"/>
    <w:tmpl w:val="3BC0C60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22E39D0"/>
    <w:multiLevelType w:val="multilevel"/>
    <w:tmpl w:val="E99A45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738A3EF3"/>
    <w:multiLevelType w:val="hybridMultilevel"/>
    <w:tmpl w:val="B0A08014"/>
    <w:lvl w:ilvl="0" w:tplc="5C00081E">
      <w:start w:val="8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5"/>
  </w:num>
  <w:num w:numId="5">
    <w:abstractNumId w:val="5"/>
  </w:num>
  <w:num w:numId="6">
    <w:abstractNumId w:val="16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  <w:num w:numId="13">
    <w:abstractNumId w:val="13"/>
  </w:num>
  <w:num w:numId="14">
    <w:abstractNumId w:val="10"/>
  </w:num>
  <w:num w:numId="15">
    <w:abstractNumId w:val="11"/>
  </w:num>
  <w:num w:numId="16">
    <w:abstractNumId w:val="6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E7"/>
    <w:rsid w:val="0000096D"/>
    <w:rsid w:val="00000E0B"/>
    <w:rsid w:val="000035A3"/>
    <w:rsid w:val="00003F04"/>
    <w:rsid w:val="000051EC"/>
    <w:rsid w:val="000077D6"/>
    <w:rsid w:val="000128C4"/>
    <w:rsid w:val="000165C2"/>
    <w:rsid w:val="000165F6"/>
    <w:rsid w:val="00016ABE"/>
    <w:rsid w:val="00016EE7"/>
    <w:rsid w:val="0002101C"/>
    <w:rsid w:val="000210A3"/>
    <w:rsid w:val="00024F24"/>
    <w:rsid w:val="0002651C"/>
    <w:rsid w:val="0002766C"/>
    <w:rsid w:val="000278F9"/>
    <w:rsid w:val="000340E6"/>
    <w:rsid w:val="000343BF"/>
    <w:rsid w:val="000359DC"/>
    <w:rsid w:val="00036779"/>
    <w:rsid w:val="000400E0"/>
    <w:rsid w:val="00045561"/>
    <w:rsid w:val="00045864"/>
    <w:rsid w:val="0004662F"/>
    <w:rsid w:val="00050441"/>
    <w:rsid w:val="0005280D"/>
    <w:rsid w:val="00053259"/>
    <w:rsid w:val="00053375"/>
    <w:rsid w:val="0005778D"/>
    <w:rsid w:val="000645E7"/>
    <w:rsid w:val="00066B3D"/>
    <w:rsid w:val="00071B1E"/>
    <w:rsid w:val="00072868"/>
    <w:rsid w:val="0007301B"/>
    <w:rsid w:val="00073987"/>
    <w:rsid w:val="0007520B"/>
    <w:rsid w:val="00075733"/>
    <w:rsid w:val="000758E9"/>
    <w:rsid w:val="00075B26"/>
    <w:rsid w:val="00076E40"/>
    <w:rsid w:val="00081069"/>
    <w:rsid w:val="0008397A"/>
    <w:rsid w:val="000845FD"/>
    <w:rsid w:val="0008633E"/>
    <w:rsid w:val="000A4CE1"/>
    <w:rsid w:val="000A58E7"/>
    <w:rsid w:val="000A5AB7"/>
    <w:rsid w:val="000A750A"/>
    <w:rsid w:val="000A7F8D"/>
    <w:rsid w:val="000B2839"/>
    <w:rsid w:val="000B5EB5"/>
    <w:rsid w:val="000B61A4"/>
    <w:rsid w:val="000C090A"/>
    <w:rsid w:val="000C0EB5"/>
    <w:rsid w:val="000C39CF"/>
    <w:rsid w:val="000C4EBD"/>
    <w:rsid w:val="000C5801"/>
    <w:rsid w:val="000C5949"/>
    <w:rsid w:val="000C6830"/>
    <w:rsid w:val="000D1457"/>
    <w:rsid w:val="000D197D"/>
    <w:rsid w:val="000D1CDC"/>
    <w:rsid w:val="000D27EF"/>
    <w:rsid w:val="000D2FFE"/>
    <w:rsid w:val="000D4026"/>
    <w:rsid w:val="000D54CC"/>
    <w:rsid w:val="000D5621"/>
    <w:rsid w:val="000D720E"/>
    <w:rsid w:val="000E0B21"/>
    <w:rsid w:val="000E3249"/>
    <w:rsid w:val="000E7BD0"/>
    <w:rsid w:val="000E7F58"/>
    <w:rsid w:val="000F1841"/>
    <w:rsid w:val="000F1A25"/>
    <w:rsid w:val="000F20EA"/>
    <w:rsid w:val="000F2643"/>
    <w:rsid w:val="000F3575"/>
    <w:rsid w:val="000F58AC"/>
    <w:rsid w:val="000F7E24"/>
    <w:rsid w:val="000F7FC9"/>
    <w:rsid w:val="0010173A"/>
    <w:rsid w:val="0010205A"/>
    <w:rsid w:val="001023E9"/>
    <w:rsid w:val="00103151"/>
    <w:rsid w:val="0010727D"/>
    <w:rsid w:val="0011259C"/>
    <w:rsid w:val="001136C9"/>
    <w:rsid w:val="00115C7D"/>
    <w:rsid w:val="0012499F"/>
    <w:rsid w:val="00124B91"/>
    <w:rsid w:val="00125335"/>
    <w:rsid w:val="001259E1"/>
    <w:rsid w:val="00127742"/>
    <w:rsid w:val="00141A98"/>
    <w:rsid w:val="00146815"/>
    <w:rsid w:val="00146926"/>
    <w:rsid w:val="00152348"/>
    <w:rsid w:val="00153741"/>
    <w:rsid w:val="00156783"/>
    <w:rsid w:val="00160647"/>
    <w:rsid w:val="00162206"/>
    <w:rsid w:val="001631E1"/>
    <w:rsid w:val="001634B4"/>
    <w:rsid w:val="00163DC0"/>
    <w:rsid w:val="001659CD"/>
    <w:rsid w:val="00165D2D"/>
    <w:rsid w:val="00173F0B"/>
    <w:rsid w:val="00176E1E"/>
    <w:rsid w:val="00177E0A"/>
    <w:rsid w:val="00180090"/>
    <w:rsid w:val="00180FF5"/>
    <w:rsid w:val="0018180A"/>
    <w:rsid w:val="001824DE"/>
    <w:rsid w:val="0018359A"/>
    <w:rsid w:val="00184ACD"/>
    <w:rsid w:val="00186497"/>
    <w:rsid w:val="0019522A"/>
    <w:rsid w:val="00197D72"/>
    <w:rsid w:val="00197D81"/>
    <w:rsid w:val="001A154C"/>
    <w:rsid w:val="001A24F2"/>
    <w:rsid w:val="001A2707"/>
    <w:rsid w:val="001A4DB1"/>
    <w:rsid w:val="001A585A"/>
    <w:rsid w:val="001A7903"/>
    <w:rsid w:val="001A7AA3"/>
    <w:rsid w:val="001B146C"/>
    <w:rsid w:val="001B1798"/>
    <w:rsid w:val="001B3787"/>
    <w:rsid w:val="001B4AB1"/>
    <w:rsid w:val="001B566E"/>
    <w:rsid w:val="001B6695"/>
    <w:rsid w:val="001B6876"/>
    <w:rsid w:val="001B795D"/>
    <w:rsid w:val="001C02CD"/>
    <w:rsid w:val="001C03FE"/>
    <w:rsid w:val="001C0995"/>
    <w:rsid w:val="001C0F36"/>
    <w:rsid w:val="001C3B67"/>
    <w:rsid w:val="001C4A98"/>
    <w:rsid w:val="001C4D5B"/>
    <w:rsid w:val="001C4E35"/>
    <w:rsid w:val="001C5F0E"/>
    <w:rsid w:val="001C7C5E"/>
    <w:rsid w:val="001D01EE"/>
    <w:rsid w:val="001D0FB2"/>
    <w:rsid w:val="001D302F"/>
    <w:rsid w:val="001D3D0D"/>
    <w:rsid w:val="001D784F"/>
    <w:rsid w:val="001E08D3"/>
    <w:rsid w:val="001E1358"/>
    <w:rsid w:val="001E2830"/>
    <w:rsid w:val="001E675D"/>
    <w:rsid w:val="001E6FFD"/>
    <w:rsid w:val="001F206D"/>
    <w:rsid w:val="001F23F6"/>
    <w:rsid w:val="001F3309"/>
    <w:rsid w:val="001F3660"/>
    <w:rsid w:val="001F53CC"/>
    <w:rsid w:val="001F5B8D"/>
    <w:rsid w:val="001F6110"/>
    <w:rsid w:val="001F7058"/>
    <w:rsid w:val="001F7AA4"/>
    <w:rsid w:val="00200F97"/>
    <w:rsid w:val="002010B6"/>
    <w:rsid w:val="002014E0"/>
    <w:rsid w:val="0020290F"/>
    <w:rsid w:val="002029C9"/>
    <w:rsid w:val="002062EF"/>
    <w:rsid w:val="00206AAF"/>
    <w:rsid w:val="00206DD7"/>
    <w:rsid w:val="0021023F"/>
    <w:rsid w:val="00212A50"/>
    <w:rsid w:val="00212CCA"/>
    <w:rsid w:val="00213DF7"/>
    <w:rsid w:val="00220E1A"/>
    <w:rsid w:val="0022131A"/>
    <w:rsid w:val="0022187C"/>
    <w:rsid w:val="002232AB"/>
    <w:rsid w:val="002246B8"/>
    <w:rsid w:val="00225B24"/>
    <w:rsid w:val="002305F4"/>
    <w:rsid w:val="00231664"/>
    <w:rsid w:val="002329EC"/>
    <w:rsid w:val="00233248"/>
    <w:rsid w:val="002333EA"/>
    <w:rsid w:val="0023587E"/>
    <w:rsid w:val="00235FBF"/>
    <w:rsid w:val="00236D99"/>
    <w:rsid w:val="0023724F"/>
    <w:rsid w:val="002375FA"/>
    <w:rsid w:val="00237A97"/>
    <w:rsid w:val="00240062"/>
    <w:rsid w:val="00240577"/>
    <w:rsid w:val="00241A50"/>
    <w:rsid w:val="00241DC7"/>
    <w:rsid w:val="00244B7E"/>
    <w:rsid w:val="00246E7C"/>
    <w:rsid w:val="00251DEE"/>
    <w:rsid w:val="00254C38"/>
    <w:rsid w:val="00256412"/>
    <w:rsid w:val="002572EE"/>
    <w:rsid w:val="002579D8"/>
    <w:rsid w:val="002666E1"/>
    <w:rsid w:val="00275C30"/>
    <w:rsid w:val="00275EB4"/>
    <w:rsid w:val="00277B7E"/>
    <w:rsid w:val="00281686"/>
    <w:rsid w:val="00281E43"/>
    <w:rsid w:val="00284404"/>
    <w:rsid w:val="0028691C"/>
    <w:rsid w:val="00286B9D"/>
    <w:rsid w:val="002904B1"/>
    <w:rsid w:val="00290CD4"/>
    <w:rsid w:val="00293BA1"/>
    <w:rsid w:val="0029538B"/>
    <w:rsid w:val="00296492"/>
    <w:rsid w:val="00297801"/>
    <w:rsid w:val="002A2C01"/>
    <w:rsid w:val="002A2E67"/>
    <w:rsid w:val="002A54F8"/>
    <w:rsid w:val="002A5EF0"/>
    <w:rsid w:val="002A6B20"/>
    <w:rsid w:val="002B1EEF"/>
    <w:rsid w:val="002B4E82"/>
    <w:rsid w:val="002B576A"/>
    <w:rsid w:val="002B6711"/>
    <w:rsid w:val="002B6923"/>
    <w:rsid w:val="002B78AB"/>
    <w:rsid w:val="002C0972"/>
    <w:rsid w:val="002C4F5F"/>
    <w:rsid w:val="002C6096"/>
    <w:rsid w:val="002D35D0"/>
    <w:rsid w:val="002D374F"/>
    <w:rsid w:val="002D72E3"/>
    <w:rsid w:val="002D7CA5"/>
    <w:rsid w:val="002E09D7"/>
    <w:rsid w:val="002E15D5"/>
    <w:rsid w:val="002E1F47"/>
    <w:rsid w:val="002E2C03"/>
    <w:rsid w:val="002E3A5A"/>
    <w:rsid w:val="002E7744"/>
    <w:rsid w:val="002F0B72"/>
    <w:rsid w:val="002F2D09"/>
    <w:rsid w:val="002F4AF3"/>
    <w:rsid w:val="002F53C2"/>
    <w:rsid w:val="0030179B"/>
    <w:rsid w:val="00301B47"/>
    <w:rsid w:val="00302A68"/>
    <w:rsid w:val="003121AA"/>
    <w:rsid w:val="003159A6"/>
    <w:rsid w:val="0032259B"/>
    <w:rsid w:val="00323227"/>
    <w:rsid w:val="00323A18"/>
    <w:rsid w:val="0032459C"/>
    <w:rsid w:val="00325CC6"/>
    <w:rsid w:val="00327C0F"/>
    <w:rsid w:val="00327E4D"/>
    <w:rsid w:val="00330BA4"/>
    <w:rsid w:val="003351D4"/>
    <w:rsid w:val="00337276"/>
    <w:rsid w:val="003408EE"/>
    <w:rsid w:val="00341489"/>
    <w:rsid w:val="00344710"/>
    <w:rsid w:val="0034580C"/>
    <w:rsid w:val="00347D2D"/>
    <w:rsid w:val="0035225C"/>
    <w:rsid w:val="00352BED"/>
    <w:rsid w:val="00360238"/>
    <w:rsid w:val="003605DA"/>
    <w:rsid w:val="00362296"/>
    <w:rsid w:val="003633F2"/>
    <w:rsid w:val="00363B97"/>
    <w:rsid w:val="00364724"/>
    <w:rsid w:val="00370404"/>
    <w:rsid w:val="003708BB"/>
    <w:rsid w:val="00371619"/>
    <w:rsid w:val="00371F03"/>
    <w:rsid w:val="00373E66"/>
    <w:rsid w:val="00376110"/>
    <w:rsid w:val="0037784A"/>
    <w:rsid w:val="00377E24"/>
    <w:rsid w:val="00380DAC"/>
    <w:rsid w:val="00380F42"/>
    <w:rsid w:val="00384FD9"/>
    <w:rsid w:val="0038567A"/>
    <w:rsid w:val="00390FE4"/>
    <w:rsid w:val="003933A9"/>
    <w:rsid w:val="00397211"/>
    <w:rsid w:val="003A1BC9"/>
    <w:rsid w:val="003A22D0"/>
    <w:rsid w:val="003A2F59"/>
    <w:rsid w:val="003A4F31"/>
    <w:rsid w:val="003A5565"/>
    <w:rsid w:val="003A56C1"/>
    <w:rsid w:val="003A6205"/>
    <w:rsid w:val="003A7241"/>
    <w:rsid w:val="003B0AF5"/>
    <w:rsid w:val="003B176E"/>
    <w:rsid w:val="003B2E9D"/>
    <w:rsid w:val="003B53AD"/>
    <w:rsid w:val="003B7540"/>
    <w:rsid w:val="003C3209"/>
    <w:rsid w:val="003C4618"/>
    <w:rsid w:val="003C4B4F"/>
    <w:rsid w:val="003D0C60"/>
    <w:rsid w:val="003D1BEB"/>
    <w:rsid w:val="003D22AB"/>
    <w:rsid w:val="003D7532"/>
    <w:rsid w:val="003D79D0"/>
    <w:rsid w:val="003E14E3"/>
    <w:rsid w:val="003E23A3"/>
    <w:rsid w:val="003E34BD"/>
    <w:rsid w:val="003E3ACA"/>
    <w:rsid w:val="003E5FD2"/>
    <w:rsid w:val="003E6760"/>
    <w:rsid w:val="003E7C2C"/>
    <w:rsid w:val="003F12CA"/>
    <w:rsid w:val="003F1937"/>
    <w:rsid w:val="003F225A"/>
    <w:rsid w:val="003F3DE9"/>
    <w:rsid w:val="003F6995"/>
    <w:rsid w:val="00400A32"/>
    <w:rsid w:val="004028FA"/>
    <w:rsid w:val="0040352C"/>
    <w:rsid w:val="0040468C"/>
    <w:rsid w:val="004049A5"/>
    <w:rsid w:val="00404DB0"/>
    <w:rsid w:val="00407FCA"/>
    <w:rsid w:val="00410657"/>
    <w:rsid w:val="00410E56"/>
    <w:rsid w:val="0041230E"/>
    <w:rsid w:val="00413450"/>
    <w:rsid w:val="0041370C"/>
    <w:rsid w:val="00414548"/>
    <w:rsid w:val="0041660F"/>
    <w:rsid w:val="00417643"/>
    <w:rsid w:val="00422196"/>
    <w:rsid w:val="0042290F"/>
    <w:rsid w:val="004234BE"/>
    <w:rsid w:val="00425F82"/>
    <w:rsid w:val="00432A69"/>
    <w:rsid w:val="00432D25"/>
    <w:rsid w:val="0043377E"/>
    <w:rsid w:val="004351D0"/>
    <w:rsid w:val="00435A71"/>
    <w:rsid w:val="00436D7B"/>
    <w:rsid w:val="00436D83"/>
    <w:rsid w:val="004400F1"/>
    <w:rsid w:val="00443A1E"/>
    <w:rsid w:val="00450515"/>
    <w:rsid w:val="00451BDB"/>
    <w:rsid w:val="00451DF2"/>
    <w:rsid w:val="00456500"/>
    <w:rsid w:val="00460AE7"/>
    <w:rsid w:val="00463AF9"/>
    <w:rsid w:val="00466712"/>
    <w:rsid w:val="00466FEB"/>
    <w:rsid w:val="004752E6"/>
    <w:rsid w:val="00476321"/>
    <w:rsid w:val="004767EE"/>
    <w:rsid w:val="00476803"/>
    <w:rsid w:val="004805E3"/>
    <w:rsid w:val="0048206D"/>
    <w:rsid w:val="00490759"/>
    <w:rsid w:val="00491409"/>
    <w:rsid w:val="00491647"/>
    <w:rsid w:val="0049316B"/>
    <w:rsid w:val="00494FAB"/>
    <w:rsid w:val="004962F7"/>
    <w:rsid w:val="004974A5"/>
    <w:rsid w:val="004A1D02"/>
    <w:rsid w:val="004A5E2D"/>
    <w:rsid w:val="004B0275"/>
    <w:rsid w:val="004B1158"/>
    <w:rsid w:val="004B24A4"/>
    <w:rsid w:val="004B784D"/>
    <w:rsid w:val="004C21AE"/>
    <w:rsid w:val="004C2DA7"/>
    <w:rsid w:val="004C30B7"/>
    <w:rsid w:val="004C3422"/>
    <w:rsid w:val="004C41CD"/>
    <w:rsid w:val="004C4312"/>
    <w:rsid w:val="004C43BE"/>
    <w:rsid w:val="004C57D1"/>
    <w:rsid w:val="004D0709"/>
    <w:rsid w:val="004D09D3"/>
    <w:rsid w:val="004D40A3"/>
    <w:rsid w:val="004D6C7D"/>
    <w:rsid w:val="004D6C83"/>
    <w:rsid w:val="004D7279"/>
    <w:rsid w:val="004E4C08"/>
    <w:rsid w:val="004E563D"/>
    <w:rsid w:val="004E5A44"/>
    <w:rsid w:val="004E644E"/>
    <w:rsid w:val="004F068E"/>
    <w:rsid w:val="004F0BD2"/>
    <w:rsid w:val="004F1230"/>
    <w:rsid w:val="004F1A01"/>
    <w:rsid w:val="004F1C89"/>
    <w:rsid w:val="004F3B38"/>
    <w:rsid w:val="004F3FFD"/>
    <w:rsid w:val="004F4719"/>
    <w:rsid w:val="00501777"/>
    <w:rsid w:val="0050257A"/>
    <w:rsid w:val="005027E9"/>
    <w:rsid w:val="005069AD"/>
    <w:rsid w:val="005074E3"/>
    <w:rsid w:val="00511901"/>
    <w:rsid w:val="00511983"/>
    <w:rsid w:val="005122B8"/>
    <w:rsid w:val="00513F0A"/>
    <w:rsid w:val="00514C74"/>
    <w:rsid w:val="00515585"/>
    <w:rsid w:val="00517D23"/>
    <w:rsid w:val="00520DFE"/>
    <w:rsid w:val="005215DB"/>
    <w:rsid w:val="005236B4"/>
    <w:rsid w:val="00523CFA"/>
    <w:rsid w:val="0052419D"/>
    <w:rsid w:val="00526FCD"/>
    <w:rsid w:val="00527065"/>
    <w:rsid w:val="00532B61"/>
    <w:rsid w:val="0053322F"/>
    <w:rsid w:val="00533D20"/>
    <w:rsid w:val="00533D73"/>
    <w:rsid w:val="005419A8"/>
    <w:rsid w:val="00547292"/>
    <w:rsid w:val="00553C66"/>
    <w:rsid w:val="00555833"/>
    <w:rsid w:val="00555DF3"/>
    <w:rsid w:val="00555F28"/>
    <w:rsid w:val="005606DF"/>
    <w:rsid w:val="005612E8"/>
    <w:rsid w:val="00561C38"/>
    <w:rsid w:val="00561C93"/>
    <w:rsid w:val="00565114"/>
    <w:rsid w:val="00565ECA"/>
    <w:rsid w:val="005726E7"/>
    <w:rsid w:val="00575740"/>
    <w:rsid w:val="00576151"/>
    <w:rsid w:val="005771E8"/>
    <w:rsid w:val="00580DF2"/>
    <w:rsid w:val="00582B61"/>
    <w:rsid w:val="00587C8D"/>
    <w:rsid w:val="0059079F"/>
    <w:rsid w:val="0059187A"/>
    <w:rsid w:val="005938A1"/>
    <w:rsid w:val="005A19AF"/>
    <w:rsid w:val="005A3959"/>
    <w:rsid w:val="005A48D3"/>
    <w:rsid w:val="005A5063"/>
    <w:rsid w:val="005A5EE7"/>
    <w:rsid w:val="005B003D"/>
    <w:rsid w:val="005B2CBD"/>
    <w:rsid w:val="005C2053"/>
    <w:rsid w:val="005C2AC3"/>
    <w:rsid w:val="005C2F31"/>
    <w:rsid w:val="005C3FA5"/>
    <w:rsid w:val="005C42CF"/>
    <w:rsid w:val="005D316E"/>
    <w:rsid w:val="005D4EFA"/>
    <w:rsid w:val="005D6DB0"/>
    <w:rsid w:val="005E16F0"/>
    <w:rsid w:val="005E1DA1"/>
    <w:rsid w:val="005E272F"/>
    <w:rsid w:val="005E438D"/>
    <w:rsid w:val="005E4A10"/>
    <w:rsid w:val="005E684D"/>
    <w:rsid w:val="005E7797"/>
    <w:rsid w:val="005E7807"/>
    <w:rsid w:val="005F1BD4"/>
    <w:rsid w:val="005F1DF6"/>
    <w:rsid w:val="005F2127"/>
    <w:rsid w:val="005F25F4"/>
    <w:rsid w:val="005F26A6"/>
    <w:rsid w:val="005F4602"/>
    <w:rsid w:val="005F5616"/>
    <w:rsid w:val="005F73EC"/>
    <w:rsid w:val="006030B2"/>
    <w:rsid w:val="00603DE1"/>
    <w:rsid w:val="00604756"/>
    <w:rsid w:val="0060488D"/>
    <w:rsid w:val="00605842"/>
    <w:rsid w:val="00605C98"/>
    <w:rsid w:val="00607496"/>
    <w:rsid w:val="00612A55"/>
    <w:rsid w:val="00617978"/>
    <w:rsid w:val="006201A3"/>
    <w:rsid w:val="00620C0A"/>
    <w:rsid w:val="00623AA1"/>
    <w:rsid w:val="006269BA"/>
    <w:rsid w:val="00626B27"/>
    <w:rsid w:val="0063087F"/>
    <w:rsid w:val="006308A4"/>
    <w:rsid w:val="00631B41"/>
    <w:rsid w:val="006322CE"/>
    <w:rsid w:val="0063254C"/>
    <w:rsid w:val="006338FE"/>
    <w:rsid w:val="006351B8"/>
    <w:rsid w:val="00635C53"/>
    <w:rsid w:val="00640E11"/>
    <w:rsid w:val="00641235"/>
    <w:rsid w:val="00641474"/>
    <w:rsid w:val="006453C8"/>
    <w:rsid w:val="006454E9"/>
    <w:rsid w:val="0064760B"/>
    <w:rsid w:val="00647F67"/>
    <w:rsid w:val="0065074C"/>
    <w:rsid w:val="00651872"/>
    <w:rsid w:val="00654957"/>
    <w:rsid w:val="00655332"/>
    <w:rsid w:val="00656DFD"/>
    <w:rsid w:val="006612A8"/>
    <w:rsid w:val="00662FC6"/>
    <w:rsid w:val="006656C4"/>
    <w:rsid w:val="0066676B"/>
    <w:rsid w:val="00670BF5"/>
    <w:rsid w:val="00670CD2"/>
    <w:rsid w:val="00671312"/>
    <w:rsid w:val="00671E65"/>
    <w:rsid w:val="00673228"/>
    <w:rsid w:val="0067355D"/>
    <w:rsid w:val="006745D4"/>
    <w:rsid w:val="00676344"/>
    <w:rsid w:val="00676FF3"/>
    <w:rsid w:val="00677343"/>
    <w:rsid w:val="0068362D"/>
    <w:rsid w:val="00684947"/>
    <w:rsid w:val="00694EA9"/>
    <w:rsid w:val="00695563"/>
    <w:rsid w:val="00695D33"/>
    <w:rsid w:val="0069668F"/>
    <w:rsid w:val="00696BA9"/>
    <w:rsid w:val="00696ECD"/>
    <w:rsid w:val="00697C97"/>
    <w:rsid w:val="006A01EE"/>
    <w:rsid w:val="006A0422"/>
    <w:rsid w:val="006A096D"/>
    <w:rsid w:val="006A5018"/>
    <w:rsid w:val="006A53D7"/>
    <w:rsid w:val="006A5677"/>
    <w:rsid w:val="006A6F1E"/>
    <w:rsid w:val="006B2017"/>
    <w:rsid w:val="006B3C4D"/>
    <w:rsid w:val="006B46A3"/>
    <w:rsid w:val="006B4F27"/>
    <w:rsid w:val="006C0AF4"/>
    <w:rsid w:val="006C1152"/>
    <w:rsid w:val="006C551B"/>
    <w:rsid w:val="006D165F"/>
    <w:rsid w:val="006D2A26"/>
    <w:rsid w:val="006D3BEE"/>
    <w:rsid w:val="006D470F"/>
    <w:rsid w:val="006D527C"/>
    <w:rsid w:val="006D5C0E"/>
    <w:rsid w:val="006D5DED"/>
    <w:rsid w:val="006D7139"/>
    <w:rsid w:val="006D7FF1"/>
    <w:rsid w:val="006E1774"/>
    <w:rsid w:val="006E1B17"/>
    <w:rsid w:val="006E39E7"/>
    <w:rsid w:val="006E5C6B"/>
    <w:rsid w:val="006E6506"/>
    <w:rsid w:val="006E6C49"/>
    <w:rsid w:val="006E6D30"/>
    <w:rsid w:val="006E7301"/>
    <w:rsid w:val="006F17FF"/>
    <w:rsid w:val="006F4191"/>
    <w:rsid w:val="006F566B"/>
    <w:rsid w:val="006F7E2D"/>
    <w:rsid w:val="00701A12"/>
    <w:rsid w:val="007034A4"/>
    <w:rsid w:val="00704470"/>
    <w:rsid w:val="00707709"/>
    <w:rsid w:val="0071243D"/>
    <w:rsid w:val="00717185"/>
    <w:rsid w:val="00720593"/>
    <w:rsid w:val="007213B7"/>
    <w:rsid w:val="00722459"/>
    <w:rsid w:val="007240AC"/>
    <w:rsid w:val="00726A5F"/>
    <w:rsid w:val="007323C8"/>
    <w:rsid w:val="00732C04"/>
    <w:rsid w:val="00736B1F"/>
    <w:rsid w:val="00737A8C"/>
    <w:rsid w:val="0074217D"/>
    <w:rsid w:val="007437E9"/>
    <w:rsid w:val="007460DF"/>
    <w:rsid w:val="00746AB8"/>
    <w:rsid w:val="007538C2"/>
    <w:rsid w:val="00754908"/>
    <w:rsid w:val="0075693C"/>
    <w:rsid w:val="00756EE9"/>
    <w:rsid w:val="00762663"/>
    <w:rsid w:val="007628D9"/>
    <w:rsid w:val="00765839"/>
    <w:rsid w:val="00770220"/>
    <w:rsid w:val="00777887"/>
    <w:rsid w:val="00780D62"/>
    <w:rsid w:val="00780D9A"/>
    <w:rsid w:val="007814BB"/>
    <w:rsid w:val="00782E67"/>
    <w:rsid w:val="007859A0"/>
    <w:rsid w:val="00786B28"/>
    <w:rsid w:val="00786F16"/>
    <w:rsid w:val="00787227"/>
    <w:rsid w:val="007906CC"/>
    <w:rsid w:val="00792999"/>
    <w:rsid w:val="00796FC6"/>
    <w:rsid w:val="00797808"/>
    <w:rsid w:val="007A0A14"/>
    <w:rsid w:val="007A2CFB"/>
    <w:rsid w:val="007A4136"/>
    <w:rsid w:val="007A6203"/>
    <w:rsid w:val="007A74E6"/>
    <w:rsid w:val="007B0E34"/>
    <w:rsid w:val="007B0ED2"/>
    <w:rsid w:val="007B1407"/>
    <w:rsid w:val="007B3CC5"/>
    <w:rsid w:val="007B4358"/>
    <w:rsid w:val="007B5123"/>
    <w:rsid w:val="007C403A"/>
    <w:rsid w:val="007C438E"/>
    <w:rsid w:val="007C4439"/>
    <w:rsid w:val="007C713C"/>
    <w:rsid w:val="007D2131"/>
    <w:rsid w:val="007D250B"/>
    <w:rsid w:val="007D2A56"/>
    <w:rsid w:val="007D738F"/>
    <w:rsid w:val="007E13D5"/>
    <w:rsid w:val="007E322E"/>
    <w:rsid w:val="007E36F8"/>
    <w:rsid w:val="007E4C32"/>
    <w:rsid w:val="007E4F6C"/>
    <w:rsid w:val="007F16BA"/>
    <w:rsid w:val="007F363A"/>
    <w:rsid w:val="007F44D7"/>
    <w:rsid w:val="007F57B1"/>
    <w:rsid w:val="007F5AE1"/>
    <w:rsid w:val="00803B5F"/>
    <w:rsid w:val="008043CE"/>
    <w:rsid w:val="00806AAC"/>
    <w:rsid w:val="00813550"/>
    <w:rsid w:val="00814095"/>
    <w:rsid w:val="00814460"/>
    <w:rsid w:val="0081542F"/>
    <w:rsid w:val="00816871"/>
    <w:rsid w:val="008169FB"/>
    <w:rsid w:val="00823D9A"/>
    <w:rsid w:val="00826B1B"/>
    <w:rsid w:val="008278AD"/>
    <w:rsid w:val="00831B56"/>
    <w:rsid w:val="008327B5"/>
    <w:rsid w:val="00832BBC"/>
    <w:rsid w:val="008335C8"/>
    <w:rsid w:val="00834120"/>
    <w:rsid w:val="00834CB7"/>
    <w:rsid w:val="00836779"/>
    <w:rsid w:val="0084057D"/>
    <w:rsid w:val="00841A9E"/>
    <w:rsid w:val="00843A69"/>
    <w:rsid w:val="0084785B"/>
    <w:rsid w:val="00851C80"/>
    <w:rsid w:val="00851F01"/>
    <w:rsid w:val="00852D83"/>
    <w:rsid w:val="00854C83"/>
    <w:rsid w:val="00855746"/>
    <w:rsid w:val="008563C6"/>
    <w:rsid w:val="0085643F"/>
    <w:rsid w:val="00861E64"/>
    <w:rsid w:val="00863EDE"/>
    <w:rsid w:val="008652B5"/>
    <w:rsid w:val="00866721"/>
    <w:rsid w:val="00873794"/>
    <w:rsid w:val="0087469C"/>
    <w:rsid w:val="008770F1"/>
    <w:rsid w:val="00884C9E"/>
    <w:rsid w:val="00887165"/>
    <w:rsid w:val="00893AC1"/>
    <w:rsid w:val="008940EE"/>
    <w:rsid w:val="00894BFB"/>
    <w:rsid w:val="008962DF"/>
    <w:rsid w:val="008967E7"/>
    <w:rsid w:val="008975F6"/>
    <w:rsid w:val="00897F94"/>
    <w:rsid w:val="008A18B8"/>
    <w:rsid w:val="008A21E1"/>
    <w:rsid w:val="008A4B18"/>
    <w:rsid w:val="008A6A26"/>
    <w:rsid w:val="008B0231"/>
    <w:rsid w:val="008B1D23"/>
    <w:rsid w:val="008B260F"/>
    <w:rsid w:val="008B290C"/>
    <w:rsid w:val="008C248F"/>
    <w:rsid w:val="008C3C41"/>
    <w:rsid w:val="008C6E78"/>
    <w:rsid w:val="008C74D9"/>
    <w:rsid w:val="008D0DD2"/>
    <w:rsid w:val="008D173C"/>
    <w:rsid w:val="008D17F0"/>
    <w:rsid w:val="008D1BD8"/>
    <w:rsid w:val="008D4CCE"/>
    <w:rsid w:val="008D5532"/>
    <w:rsid w:val="008D7EA3"/>
    <w:rsid w:val="008E0A28"/>
    <w:rsid w:val="008E2506"/>
    <w:rsid w:val="008E3096"/>
    <w:rsid w:val="008E3BC2"/>
    <w:rsid w:val="008E3FC8"/>
    <w:rsid w:val="008E609A"/>
    <w:rsid w:val="008E6405"/>
    <w:rsid w:val="008E72DA"/>
    <w:rsid w:val="008F0580"/>
    <w:rsid w:val="008F120E"/>
    <w:rsid w:val="008F3D9F"/>
    <w:rsid w:val="008F4F51"/>
    <w:rsid w:val="008F5339"/>
    <w:rsid w:val="008F6EE8"/>
    <w:rsid w:val="008F7591"/>
    <w:rsid w:val="00901E33"/>
    <w:rsid w:val="00902121"/>
    <w:rsid w:val="00903616"/>
    <w:rsid w:val="00904C97"/>
    <w:rsid w:val="0090588D"/>
    <w:rsid w:val="009067C6"/>
    <w:rsid w:val="00906A3C"/>
    <w:rsid w:val="0090719F"/>
    <w:rsid w:val="00907FDA"/>
    <w:rsid w:val="00910D53"/>
    <w:rsid w:val="00911A83"/>
    <w:rsid w:val="009134DC"/>
    <w:rsid w:val="009136B9"/>
    <w:rsid w:val="00913D06"/>
    <w:rsid w:val="009140FE"/>
    <w:rsid w:val="0091433B"/>
    <w:rsid w:val="00914F93"/>
    <w:rsid w:val="00915236"/>
    <w:rsid w:val="00916EC5"/>
    <w:rsid w:val="00924F83"/>
    <w:rsid w:val="00930557"/>
    <w:rsid w:val="00933C12"/>
    <w:rsid w:val="00940C53"/>
    <w:rsid w:val="00941188"/>
    <w:rsid w:val="009422C3"/>
    <w:rsid w:val="0095034C"/>
    <w:rsid w:val="00950499"/>
    <w:rsid w:val="009525AA"/>
    <w:rsid w:val="0095482A"/>
    <w:rsid w:val="00955368"/>
    <w:rsid w:val="009557C4"/>
    <w:rsid w:val="00956D38"/>
    <w:rsid w:val="009618CC"/>
    <w:rsid w:val="0096224A"/>
    <w:rsid w:val="009642E3"/>
    <w:rsid w:val="00965D36"/>
    <w:rsid w:val="009667EF"/>
    <w:rsid w:val="0096684E"/>
    <w:rsid w:val="00970D9B"/>
    <w:rsid w:val="009737EC"/>
    <w:rsid w:val="00974523"/>
    <w:rsid w:val="0097508A"/>
    <w:rsid w:val="00980640"/>
    <w:rsid w:val="00981395"/>
    <w:rsid w:val="009835FA"/>
    <w:rsid w:val="009850EF"/>
    <w:rsid w:val="009852BA"/>
    <w:rsid w:val="0098629F"/>
    <w:rsid w:val="00986717"/>
    <w:rsid w:val="00992B8D"/>
    <w:rsid w:val="009932C8"/>
    <w:rsid w:val="0099352A"/>
    <w:rsid w:val="009957CB"/>
    <w:rsid w:val="009957DC"/>
    <w:rsid w:val="00996CE6"/>
    <w:rsid w:val="0099715D"/>
    <w:rsid w:val="009A131D"/>
    <w:rsid w:val="009A1BD4"/>
    <w:rsid w:val="009A2384"/>
    <w:rsid w:val="009A258B"/>
    <w:rsid w:val="009A65EE"/>
    <w:rsid w:val="009B0C97"/>
    <w:rsid w:val="009B0D97"/>
    <w:rsid w:val="009B1788"/>
    <w:rsid w:val="009B24C4"/>
    <w:rsid w:val="009B2556"/>
    <w:rsid w:val="009B34E5"/>
    <w:rsid w:val="009B3603"/>
    <w:rsid w:val="009B67F8"/>
    <w:rsid w:val="009C0418"/>
    <w:rsid w:val="009C154A"/>
    <w:rsid w:val="009C2ECE"/>
    <w:rsid w:val="009C5689"/>
    <w:rsid w:val="009C67EB"/>
    <w:rsid w:val="009C6C73"/>
    <w:rsid w:val="009D40FE"/>
    <w:rsid w:val="009D52BD"/>
    <w:rsid w:val="009D5711"/>
    <w:rsid w:val="009D6DA7"/>
    <w:rsid w:val="009D7714"/>
    <w:rsid w:val="009E139D"/>
    <w:rsid w:val="009E3F3D"/>
    <w:rsid w:val="009E44C2"/>
    <w:rsid w:val="009E5610"/>
    <w:rsid w:val="009E69BE"/>
    <w:rsid w:val="009E7651"/>
    <w:rsid w:val="009F0937"/>
    <w:rsid w:val="009F1E46"/>
    <w:rsid w:val="009F3097"/>
    <w:rsid w:val="009F40EC"/>
    <w:rsid w:val="009F5E64"/>
    <w:rsid w:val="00A00FBF"/>
    <w:rsid w:val="00A0283F"/>
    <w:rsid w:val="00A03849"/>
    <w:rsid w:val="00A03D20"/>
    <w:rsid w:val="00A0403D"/>
    <w:rsid w:val="00A0607F"/>
    <w:rsid w:val="00A06668"/>
    <w:rsid w:val="00A140D9"/>
    <w:rsid w:val="00A15AFD"/>
    <w:rsid w:val="00A17233"/>
    <w:rsid w:val="00A2133A"/>
    <w:rsid w:val="00A2202C"/>
    <w:rsid w:val="00A22083"/>
    <w:rsid w:val="00A228DC"/>
    <w:rsid w:val="00A23069"/>
    <w:rsid w:val="00A264F9"/>
    <w:rsid w:val="00A319B7"/>
    <w:rsid w:val="00A323A6"/>
    <w:rsid w:val="00A33E54"/>
    <w:rsid w:val="00A341B0"/>
    <w:rsid w:val="00A34449"/>
    <w:rsid w:val="00A34F4B"/>
    <w:rsid w:val="00A356F1"/>
    <w:rsid w:val="00A4117E"/>
    <w:rsid w:val="00A4133E"/>
    <w:rsid w:val="00A42EBC"/>
    <w:rsid w:val="00A45479"/>
    <w:rsid w:val="00A457EC"/>
    <w:rsid w:val="00A500DB"/>
    <w:rsid w:val="00A51112"/>
    <w:rsid w:val="00A55E00"/>
    <w:rsid w:val="00A565CE"/>
    <w:rsid w:val="00A6045A"/>
    <w:rsid w:val="00A63200"/>
    <w:rsid w:val="00A64AA4"/>
    <w:rsid w:val="00A64F88"/>
    <w:rsid w:val="00A65B19"/>
    <w:rsid w:val="00A66E26"/>
    <w:rsid w:val="00A7096F"/>
    <w:rsid w:val="00A71A3D"/>
    <w:rsid w:val="00A71E02"/>
    <w:rsid w:val="00A71E21"/>
    <w:rsid w:val="00A7220F"/>
    <w:rsid w:val="00A75C57"/>
    <w:rsid w:val="00A75FDE"/>
    <w:rsid w:val="00A7632A"/>
    <w:rsid w:val="00A7768E"/>
    <w:rsid w:val="00A81462"/>
    <w:rsid w:val="00A81BF0"/>
    <w:rsid w:val="00A82626"/>
    <w:rsid w:val="00A87E73"/>
    <w:rsid w:val="00A91504"/>
    <w:rsid w:val="00A92163"/>
    <w:rsid w:val="00A93695"/>
    <w:rsid w:val="00A94B4E"/>
    <w:rsid w:val="00A95003"/>
    <w:rsid w:val="00AA73F7"/>
    <w:rsid w:val="00AB195F"/>
    <w:rsid w:val="00AB3A92"/>
    <w:rsid w:val="00AB70A3"/>
    <w:rsid w:val="00AC16FF"/>
    <w:rsid w:val="00AC53A8"/>
    <w:rsid w:val="00AC5EA7"/>
    <w:rsid w:val="00AC786B"/>
    <w:rsid w:val="00AD5221"/>
    <w:rsid w:val="00AE5262"/>
    <w:rsid w:val="00AE75EB"/>
    <w:rsid w:val="00AF0DE7"/>
    <w:rsid w:val="00AF16E0"/>
    <w:rsid w:val="00AF17E7"/>
    <w:rsid w:val="00AF2831"/>
    <w:rsid w:val="00AF35D4"/>
    <w:rsid w:val="00AF490A"/>
    <w:rsid w:val="00AF4A9E"/>
    <w:rsid w:val="00AF54DA"/>
    <w:rsid w:val="00AF61CC"/>
    <w:rsid w:val="00AF7151"/>
    <w:rsid w:val="00B01E87"/>
    <w:rsid w:val="00B0297E"/>
    <w:rsid w:val="00B02D14"/>
    <w:rsid w:val="00B107F6"/>
    <w:rsid w:val="00B111ED"/>
    <w:rsid w:val="00B11931"/>
    <w:rsid w:val="00B11C21"/>
    <w:rsid w:val="00B1367B"/>
    <w:rsid w:val="00B13D9D"/>
    <w:rsid w:val="00B167DC"/>
    <w:rsid w:val="00B25AE9"/>
    <w:rsid w:val="00B26B0F"/>
    <w:rsid w:val="00B26E41"/>
    <w:rsid w:val="00B31593"/>
    <w:rsid w:val="00B31F9F"/>
    <w:rsid w:val="00B34484"/>
    <w:rsid w:val="00B34928"/>
    <w:rsid w:val="00B35FC5"/>
    <w:rsid w:val="00B37494"/>
    <w:rsid w:val="00B41F4B"/>
    <w:rsid w:val="00B438DF"/>
    <w:rsid w:val="00B45881"/>
    <w:rsid w:val="00B5234B"/>
    <w:rsid w:val="00B5324C"/>
    <w:rsid w:val="00B54C1B"/>
    <w:rsid w:val="00B5573C"/>
    <w:rsid w:val="00B55F45"/>
    <w:rsid w:val="00B6005B"/>
    <w:rsid w:val="00B64E42"/>
    <w:rsid w:val="00B64FBA"/>
    <w:rsid w:val="00B66437"/>
    <w:rsid w:val="00B679F9"/>
    <w:rsid w:val="00B70D82"/>
    <w:rsid w:val="00B71155"/>
    <w:rsid w:val="00B71209"/>
    <w:rsid w:val="00B71C38"/>
    <w:rsid w:val="00B74766"/>
    <w:rsid w:val="00B764C3"/>
    <w:rsid w:val="00B803EC"/>
    <w:rsid w:val="00B81A1F"/>
    <w:rsid w:val="00B846C6"/>
    <w:rsid w:val="00B87531"/>
    <w:rsid w:val="00B92ECB"/>
    <w:rsid w:val="00B931B5"/>
    <w:rsid w:val="00B93CE4"/>
    <w:rsid w:val="00B93F3F"/>
    <w:rsid w:val="00B95EE1"/>
    <w:rsid w:val="00B95EF3"/>
    <w:rsid w:val="00B96EE6"/>
    <w:rsid w:val="00BA0ADB"/>
    <w:rsid w:val="00BA14B4"/>
    <w:rsid w:val="00BA226A"/>
    <w:rsid w:val="00BA2637"/>
    <w:rsid w:val="00BA5DD2"/>
    <w:rsid w:val="00BA61D7"/>
    <w:rsid w:val="00BA747A"/>
    <w:rsid w:val="00BB12A9"/>
    <w:rsid w:val="00BB13B9"/>
    <w:rsid w:val="00BB14B7"/>
    <w:rsid w:val="00BB2B58"/>
    <w:rsid w:val="00BB55A6"/>
    <w:rsid w:val="00BB773C"/>
    <w:rsid w:val="00BB7AA6"/>
    <w:rsid w:val="00BC529B"/>
    <w:rsid w:val="00BC7A6B"/>
    <w:rsid w:val="00BD0418"/>
    <w:rsid w:val="00BD07A4"/>
    <w:rsid w:val="00BD4369"/>
    <w:rsid w:val="00BD6808"/>
    <w:rsid w:val="00BE0BA1"/>
    <w:rsid w:val="00BE19AA"/>
    <w:rsid w:val="00BE309F"/>
    <w:rsid w:val="00BE4D3F"/>
    <w:rsid w:val="00BE5D50"/>
    <w:rsid w:val="00BF125C"/>
    <w:rsid w:val="00BF1264"/>
    <w:rsid w:val="00BF214A"/>
    <w:rsid w:val="00BF5C98"/>
    <w:rsid w:val="00BF72CC"/>
    <w:rsid w:val="00C0229E"/>
    <w:rsid w:val="00C025A4"/>
    <w:rsid w:val="00C052C8"/>
    <w:rsid w:val="00C073D8"/>
    <w:rsid w:val="00C124F6"/>
    <w:rsid w:val="00C14321"/>
    <w:rsid w:val="00C16F4D"/>
    <w:rsid w:val="00C23FBB"/>
    <w:rsid w:val="00C261FB"/>
    <w:rsid w:val="00C266AB"/>
    <w:rsid w:val="00C26BC3"/>
    <w:rsid w:val="00C26E18"/>
    <w:rsid w:val="00C30C35"/>
    <w:rsid w:val="00C33EEF"/>
    <w:rsid w:val="00C353C9"/>
    <w:rsid w:val="00C4175F"/>
    <w:rsid w:val="00C460F0"/>
    <w:rsid w:val="00C46107"/>
    <w:rsid w:val="00C47824"/>
    <w:rsid w:val="00C51BAB"/>
    <w:rsid w:val="00C524BE"/>
    <w:rsid w:val="00C54251"/>
    <w:rsid w:val="00C54ADF"/>
    <w:rsid w:val="00C54FC2"/>
    <w:rsid w:val="00C5763B"/>
    <w:rsid w:val="00C62F42"/>
    <w:rsid w:val="00C6430E"/>
    <w:rsid w:val="00C64D08"/>
    <w:rsid w:val="00C67037"/>
    <w:rsid w:val="00C70B23"/>
    <w:rsid w:val="00C712EE"/>
    <w:rsid w:val="00C72F3F"/>
    <w:rsid w:val="00C73706"/>
    <w:rsid w:val="00C75D38"/>
    <w:rsid w:val="00C811E7"/>
    <w:rsid w:val="00C85E27"/>
    <w:rsid w:val="00C878A1"/>
    <w:rsid w:val="00C91682"/>
    <w:rsid w:val="00C95698"/>
    <w:rsid w:val="00C9651E"/>
    <w:rsid w:val="00C96E33"/>
    <w:rsid w:val="00CA0937"/>
    <w:rsid w:val="00CA27B2"/>
    <w:rsid w:val="00CA321E"/>
    <w:rsid w:val="00CA46E0"/>
    <w:rsid w:val="00CA4EB2"/>
    <w:rsid w:val="00CB17DA"/>
    <w:rsid w:val="00CB25F6"/>
    <w:rsid w:val="00CB452A"/>
    <w:rsid w:val="00CC187F"/>
    <w:rsid w:val="00CC190B"/>
    <w:rsid w:val="00CC2CD9"/>
    <w:rsid w:val="00CC3F97"/>
    <w:rsid w:val="00CC4A02"/>
    <w:rsid w:val="00CC5858"/>
    <w:rsid w:val="00CC6BAC"/>
    <w:rsid w:val="00CC76C4"/>
    <w:rsid w:val="00CD1E0A"/>
    <w:rsid w:val="00CD3136"/>
    <w:rsid w:val="00CD34C1"/>
    <w:rsid w:val="00CD4FDD"/>
    <w:rsid w:val="00CE0852"/>
    <w:rsid w:val="00CE172C"/>
    <w:rsid w:val="00CE4DF7"/>
    <w:rsid w:val="00CE6139"/>
    <w:rsid w:val="00CE7AF4"/>
    <w:rsid w:val="00CE7E7A"/>
    <w:rsid w:val="00CF20E2"/>
    <w:rsid w:val="00CF3FA3"/>
    <w:rsid w:val="00CF72C2"/>
    <w:rsid w:val="00CF72D6"/>
    <w:rsid w:val="00D0041D"/>
    <w:rsid w:val="00D00ABA"/>
    <w:rsid w:val="00D014EB"/>
    <w:rsid w:val="00D03FFF"/>
    <w:rsid w:val="00D0775E"/>
    <w:rsid w:val="00D13675"/>
    <w:rsid w:val="00D1368E"/>
    <w:rsid w:val="00D13D76"/>
    <w:rsid w:val="00D13E7A"/>
    <w:rsid w:val="00D152B3"/>
    <w:rsid w:val="00D21A7C"/>
    <w:rsid w:val="00D237A7"/>
    <w:rsid w:val="00D2595C"/>
    <w:rsid w:val="00D3084A"/>
    <w:rsid w:val="00D35440"/>
    <w:rsid w:val="00D35F3F"/>
    <w:rsid w:val="00D365A1"/>
    <w:rsid w:val="00D424D0"/>
    <w:rsid w:val="00D4364F"/>
    <w:rsid w:val="00D44449"/>
    <w:rsid w:val="00D44ADA"/>
    <w:rsid w:val="00D44D6B"/>
    <w:rsid w:val="00D52519"/>
    <w:rsid w:val="00D53308"/>
    <w:rsid w:val="00D60732"/>
    <w:rsid w:val="00D6251F"/>
    <w:rsid w:val="00D62C1E"/>
    <w:rsid w:val="00D63A92"/>
    <w:rsid w:val="00D63C37"/>
    <w:rsid w:val="00D65F4B"/>
    <w:rsid w:val="00D661E2"/>
    <w:rsid w:val="00D66258"/>
    <w:rsid w:val="00D665EE"/>
    <w:rsid w:val="00D66D10"/>
    <w:rsid w:val="00D70228"/>
    <w:rsid w:val="00D70475"/>
    <w:rsid w:val="00D72C60"/>
    <w:rsid w:val="00D72ED4"/>
    <w:rsid w:val="00D76D0A"/>
    <w:rsid w:val="00D813B3"/>
    <w:rsid w:val="00D842F0"/>
    <w:rsid w:val="00D87BCD"/>
    <w:rsid w:val="00D902B8"/>
    <w:rsid w:val="00D9198E"/>
    <w:rsid w:val="00D924AD"/>
    <w:rsid w:val="00D94C8F"/>
    <w:rsid w:val="00D94D5C"/>
    <w:rsid w:val="00D94E20"/>
    <w:rsid w:val="00D97F98"/>
    <w:rsid w:val="00DA2FB2"/>
    <w:rsid w:val="00DA6D2F"/>
    <w:rsid w:val="00DA7BFB"/>
    <w:rsid w:val="00DA7F4C"/>
    <w:rsid w:val="00DB1679"/>
    <w:rsid w:val="00DB35B9"/>
    <w:rsid w:val="00DB3B64"/>
    <w:rsid w:val="00DB50EF"/>
    <w:rsid w:val="00DB5124"/>
    <w:rsid w:val="00DB513F"/>
    <w:rsid w:val="00DB6785"/>
    <w:rsid w:val="00DC10E8"/>
    <w:rsid w:val="00DC19F3"/>
    <w:rsid w:val="00DC3A19"/>
    <w:rsid w:val="00DC3ECF"/>
    <w:rsid w:val="00DC76A0"/>
    <w:rsid w:val="00DD16D5"/>
    <w:rsid w:val="00DD193E"/>
    <w:rsid w:val="00DD2E13"/>
    <w:rsid w:val="00DD4199"/>
    <w:rsid w:val="00DD5093"/>
    <w:rsid w:val="00DD6021"/>
    <w:rsid w:val="00DD73FB"/>
    <w:rsid w:val="00DD7572"/>
    <w:rsid w:val="00DE2863"/>
    <w:rsid w:val="00DE4FDA"/>
    <w:rsid w:val="00DE5D1A"/>
    <w:rsid w:val="00DE60A3"/>
    <w:rsid w:val="00DF0544"/>
    <w:rsid w:val="00DF2D10"/>
    <w:rsid w:val="00DF4E4E"/>
    <w:rsid w:val="00DF5B8E"/>
    <w:rsid w:val="00DF5CEE"/>
    <w:rsid w:val="00DF7860"/>
    <w:rsid w:val="00DF7955"/>
    <w:rsid w:val="00DF7ED0"/>
    <w:rsid w:val="00E00BF7"/>
    <w:rsid w:val="00E06E86"/>
    <w:rsid w:val="00E114C2"/>
    <w:rsid w:val="00E12A5D"/>
    <w:rsid w:val="00E13484"/>
    <w:rsid w:val="00E13659"/>
    <w:rsid w:val="00E138C1"/>
    <w:rsid w:val="00E23E7B"/>
    <w:rsid w:val="00E24093"/>
    <w:rsid w:val="00E26D91"/>
    <w:rsid w:val="00E3712C"/>
    <w:rsid w:val="00E37F79"/>
    <w:rsid w:val="00E40851"/>
    <w:rsid w:val="00E41DE7"/>
    <w:rsid w:val="00E4275D"/>
    <w:rsid w:val="00E442EC"/>
    <w:rsid w:val="00E46BFE"/>
    <w:rsid w:val="00E46C4C"/>
    <w:rsid w:val="00E47842"/>
    <w:rsid w:val="00E50EE7"/>
    <w:rsid w:val="00E552A1"/>
    <w:rsid w:val="00E55C55"/>
    <w:rsid w:val="00E56CF9"/>
    <w:rsid w:val="00E61265"/>
    <w:rsid w:val="00E614E5"/>
    <w:rsid w:val="00E65EBB"/>
    <w:rsid w:val="00E72364"/>
    <w:rsid w:val="00E73785"/>
    <w:rsid w:val="00E741E7"/>
    <w:rsid w:val="00E758B3"/>
    <w:rsid w:val="00E760EF"/>
    <w:rsid w:val="00E76165"/>
    <w:rsid w:val="00E838E8"/>
    <w:rsid w:val="00E844D1"/>
    <w:rsid w:val="00E84A32"/>
    <w:rsid w:val="00E8586F"/>
    <w:rsid w:val="00E91455"/>
    <w:rsid w:val="00E92B8C"/>
    <w:rsid w:val="00E93382"/>
    <w:rsid w:val="00E93C79"/>
    <w:rsid w:val="00E96BC3"/>
    <w:rsid w:val="00EA0A76"/>
    <w:rsid w:val="00EA33EC"/>
    <w:rsid w:val="00EA4A74"/>
    <w:rsid w:val="00EB2028"/>
    <w:rsid w:val="00EB3347"/>
    <w:rsid w:val="00EB3CAF"/>
    <w:rsid w:val="00EB4C14"/>
    <w:rsid w:val="00EB5E9D"/>
    <w:rsid w:val="00EB67EA"/>
    <w:rsid w:val="00EC0A44"/>
    <w:rsid w:val="00EC0D98"/>
    <w:rsid w:val="00EC1860"/>
    <w:rsid w:val="00EC2D03"/>
    <w:rsid w:val="00EC4195"/>
    <w:rsid w:val="00EC4266"/>
    <w:rsid w:val="00EC5309"/>
    <w:rsid w:val="00EC7DA5"/>
    <w:rsid w:val="00ED10FE"/>
    <w:rsid w:val="00ED2545"/>
    <w:rsid w:val="00ED3FE2"/>
    <w:rsid w:val="00ED55BF"/>
    <w:rsid w:val="00ED6327"/>
    <w:rsid w:val="00EE2716"/>
    <w:rsid w:val="00EE7F2D"/>
    <w:rsid w:val="00EF14AB"/>
    <w:rsid w:val="00EF2449"/>
    <w:rsid w:val="00EF2C3F"/>
    <w:rsid w:val="00EF3027"/>
    <w:rsid w:val="00EF6DBE"/>
    <w:rsid w:val="00F00090"/>
    <w:rsid w:val="00F01A77"/>
    <w:rsid w:val="00F01DB0"/>
    <w:rsid w:val="00F023B5"/>
    <w:rsid w:val="00F03768"/>
    <w:rsid w:val="00F06DFF"/>
    <w:rsid w:val="00F11096"/>
    <w:rsid w:val="00F12789"/>
    <w:rsid w:val="00F13184"/>
    <w:rsid w:val="00F1467F"/>
    <w:rsid w:val="00F158A1"/>
    <w:rsid w:val="00F16A77"/>
    <w:rsid w:val="00F20922"/>
    <w:rsid w:val="00F215FA"/>
    <w:rsid w:val="00F238B0"/>
    <w:rsid w:val="00F243F5"/>
    <w:rsid w:val="00F2664B"/>
    <w:rsid w:val="00F26826"/>
    <w:rsid w:val="00F26A9E"/>
    <w:rsid w:val="00F303AC"/>
    <w:rsid w:val="00F30472"/>
    <w:rsid w:val="00F342E6"/>
    <w:rsid w:val="00F35816"/>
    <w:rsid w:val="00F3617F"/>
    <w:rsid w:val="00F37B13"/>
    <w:rsid w:val="00F40246"/>
    <w:rsid w:val="00F4086C"/>
    <w:rsid w:val="00F41CDB"/>
    <w:rsid w:val="00F41D7B"/>
    <w:rsid w:val="00F429BD"/>
    <w:rsid w:val="00F4450B"/>
    <w:rsid w:val="00F50FF9"/>
    <w:rsid w:val="00F51A14"/>
    <w:rsid w:val="00F51D8F"/>
    <w:rsid w:val="00F53DEF"/>
    <w:rsid w:val="00F546D0"/>
    <w:rsid w:val="00F56EEF"/>
    <w:rsid w:val="00F57790"/>
    <w:rsid w:val="00F601B5"/>
    <w:rsid w:val="00F60387"/>
    <w:rsid w:val="00F61F50"/>
    <w:rsid w:val="00F64E8D"/>
    <w:rsid w:val="00F67A9F"/>
    <w:rsid w:val="00F7345B"/>
    <w:rsid w:val="00F77122"/>
    <w:rsid w:val="00F800FA"/>
    <w:rsid w:val="00F85BA9"/>
    <w:rsid w:val="00F91B28"/>
    <w:rsid w:val="00F92A56"/>
    <w:rsid w:val="00F92B58"/>
    <w:rsid w:val="00F95240"/>
    <w:rsid w:val="00F96370"/>
    <w:rsid w:val="00F970E7"/>
    <w:rsid w:val="00F970F6"/>
    <w:rsid w:val="00FA2D52"/>
    <w:rsid w:val="00FA5755"/>
    <w:rsid w:val="00FA6C9B"/>
    <w:rsid w:val="00FB14F0"/>
    <w:rsid w:val="00FB526B"/>
    <w:rsid w:val="00FB5C81"/>
    <w:rsid w:val="00FC038A"/>
    <w:rsid w:val="00FC18EA"/>
    <w:rsid w:val="00FC1C23"/>
    <w:rsid w:val="00FC62D7"/>
    <w:rsid w:val="00FD69C4"/>
    <w:rsid w:val="00FD70F7"/>
    <w:rsid w:val="00FD73FA"/>
    <w:rsid w:val="00FD7820"/>
    <w:rsid w:val="00FE13AF"/>
    <w:rsid w:val="00FE23A3"/>
    <w:rsid w:val="00FE23EC"/>
    <w:rsid w:val="00FE40FA"/>
    <w:rsid w:val="00FE44F0"/>
    <w:rsid w:val="00FE4756"/>
    <w:rsid w:val="00FE536C"/>
    <w:rsid w:val="00FF0CFC"/>
    <w:rsid w:val="00FF1D33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8BA645"/>
  <w15:chartTrackingRefBased/>
  <w15:docId w15:val="{634699D2-1C97-4AF5-A1E2-FFE63124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Heading3">
    <w:name w:val="heading 3"/>
    <w:basedOn w:val="Normal"/>
    <w:qFormat/>
    <w:locked/>
    <w:rsid w:val="00C266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0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907F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340E6"/>
    <w:pPr>
      <w:ind w:left="720"/>
    </w:pPr>
  </w:style>
  <w:style w:type="paragraph" w:styleId="NormalWeb">
    <w:name w:val="Normal (Web)"/>
    <w:basedOn w:val="Normal"/>
    <w:uiPriority w:val="99"/>
    <w:unhideWhenUsed/>
    <w:rsid w:val="00081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CM1">
    <w:name w:val="CM1"/>
    <w:basedOn w:val="Normal"/>
    <w:next w:val="Normal"/>
    <w:rsid w:val="00626B2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US"/>
    </w:rPr>
  </w:style>
  <w:style w:type="paragraph" w:customStyle="1" w:styleId="CM3">
    <w:name w:val="CM3"/>
    <w:basedOn w:val="Normal"/>
    <w:next w:val="Normal"/>
    <w:rsid w:val="00626B2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US"/>
    </w:rPr>
  </w:style>
  <w:style w:type="paragraph" w:customStyle="1" w:styleId="Default">
    <w:name w:val="Default"/>
    <w:rsid w:val="001136C9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B54C1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54C1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54C1B"/>
  </w:style>
  <w:style w:type="character" w:customStyle="1" w:styleId="sts-label">
    <w:name w:val="sts-label"/>
    <w:basedOn w:val="DefaultParagraphFont"/>
    <w:rsid w:val="00212CCA"/>
  </w:style>
  <w:style w:type="character" w:styleId="CommentReference">
    <w:name w:val="annotation reference"/>
    <w:rsid w:val="00630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087F"/>
    <w:rPr>
      <w:sz w:val="20"/>
      <w:szCs w:val="20"/>
    </w:rPr>
  </w:style>
  <w:style w:type="character" w:customStyle="1" w:styleId="CommentTextChar">
    <w:name w:val="Comment Text Char"/>
    <w:link w:val="CommentText"/>
    <w:rsid w:val="0063087F"/>
    <w:rPr>
      <w:rFonts w:eastAsia="Times New Roman"/>
      <w:lang w:val="bg-BG"/>
    </w:rPr>
  </w:style>
  <w:style w:type="paragraph" w:styleId="CommentSubject">
    <w:name w:val="annotation subject"/>
    <w:basedOn w:val="CommentText"/>
    <w:next w:val="CommentText"/>
    <w:link w:val="CommentSubjectChar"/>
    <w:rsid w:val="0063087F"/>
    <w:rPr>
      <w:b/>
      <w:bCs/>
    </w:rPr>
  </w:style>
  <w:style w:type="character" w:customStyle="1" w:styleId="CommentSubjectChar">
    <w:name w:val="Comment Subject Char"/>
    <w:link w:val="CommentSubject"/>
    <w:rsid w:val="0063087F"/>
    <w:rPr>
      <w:rFonts w:eastAsia="Times New Roman"/>
      <w:b/>
      <w:bCs/>
      <w:lang w:val="bg-BG"/>
    </w:rPr>
  </w:style>
  <w:style w:type="character" w:customStyle="1" w:styleId="jlqj4b">
    <w:name w:val="jlqj4b"/>
    <w:rsid w:val="00555DF3"/>
  </w:style>
  <w:style w:type="paragraph" w:styleId="Revision">
    <w:name w:val="Revision"/>
    <w:hidden/>
    <w:uiPriority w:val="99"/>
    <w:semiHidden/>
    <w:rsid w:val="001B6876"/>
    <w:rPr>
      <w:rFonts w:eastAsia="Times New Roman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2A68"/>
    <w:rPr>
      <w:rFonts w:eastAsia="Times New Roman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locked/>
    <w:rsid w:val="004974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175E6-C987-4AA5-B2F5-599EB0D0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6346</Words>
  <Characters>36175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Методика за удостоверяване на съответствието на типа техническо устройство</vt:lpstr>
    </vt:vector>
  </TitlesOfParts>
  <Manager>I. Burov</Manager>
  <Company>MZM</Company>
  <LinksUpToDate>false</LinksUpToDate>
  <CharactersWithSpaces>42437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за удостоверяване на съответствието на типа техническо устройство</dc:title>
  <dc:subject/>
  <dc:creator>M.Miladinov</dc:creator>
  <cp:keywords/>
  <dc:description/>
  <cp:lastModifiedBy>Mariana D. Tsvyatkova</cp:lastModifiedBy>
  <cp:revision>21</cp:revision>
  <dcterms:created xsi:type="dcterms:W3CDTF">2021-10-13T08:32:00Z</dcterms:created>
  <dcterms:modified xsi:type="dcterms:W3CDTF">2021-10-27T08:49:00Z</dcterms:modified>
</cp:coreProperties>
</file>