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9C9" w:rsidRPr="000D69C9" w:rsidRDefault="000D69C9" w:rsidP="004B24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2"/>
          <w:szCs w:val="42"/>
          <w:lang w:eastAsia="bg-BG"/>
        </w:rPr>
      </w:pPr>
      <w:r w:rsidRPr="000D69C9">
        <w:rPr>
          <w:rFonts w:ascii="Arial" w:eastAsia="Times New Roman" w:hAnsi="Arial" w:cs="Arial"/>
          <w:color w:val="222222"/>
          <w:sz w:val="42"/>
          <w:szCs w:val="42"/>
          <w:lang w:eastAsia="bg-BG"/>
        </w:rPr>
        <w:t>Управление на данни и вземане на решения на основата на здравни данни</w:t>
      </w:r>
    </w:p>
    <w:p w:rsidR="004B248E" w:rsidRDefault="004B248E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</w:pP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>Онлайн дискусия на 16.12.2021 г. от 16 часа.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Европейският портал за данни /ЕDP/ предлага над 7 000 набора от данни, свързани със здравето. Здравето обхваща широк спектър от теми, вариращи от замърсяване на въздуха, използване на линейки, тютюнопушене и злополуки. Заинтересованите страни могат да използват данните и да създават услуги, например за повишаване на осведомеността и защита на здравето на хората.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Наборите от данни за Европейският портал за данни се предоставят от Националните портали за отворени данни, които от своя страна събират данни от различни институции като федерални, регионални и местни портали; национални, регионални и местни държавни органи или изследователски институции. Здравните данни са част от т.нар. данни с висока стойност. Тяхната значимост нарасна и стана по-видима за хората още повече по време на пандемията през последните години.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Националният портал за отворени данни на Република България (https://data.egov.bg/) предлага над 10 000 набора от данни от 535 организации, от които в категория „здравеопазване“ попадат над 250 разнообразни данни като регистрирани лечебни заведения регистрирани дрогерии правоспособни лекари или лица, практикуващи неконвенционална медицина; регистрирани минимални цени на лекарствени продукти, отпускани без лекарско предписание и много други. В отделна секция са изнесени наборите от данни с висока стойност на Министерство на здравеопазването, свързани с Covid-19,  съдържащи информация за статистика за разпространението, ваксинирани и починали лица.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Улесненото повторното използване на определени данни, притежавани от публичния сектор, в т.ч. на здравни данни може да се подпомогне разработването на здравни политики, както и напредъка на научните изследвания в посока откриване на нови подходи за лечение на редки или хронични заболявания, развитие на по-добро персонализирано лечение, подобряване на общото здравословно състояние и пр.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За важността на здравните отворени данни, тяхното създаване и управление, както и за използваните алгоритми за медицински анализ, начините на употреба на платформата при пандемия като COVID-19 и много други, ще дискутираме онлайн на 16.12.2021 г. от 16 ч. с нашите гости: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36"/>
          <w:szCs w:val="36"/>
          <w:lang w:eastAsia="bg-BG"/>
        </w:rPr>
      </w:pPr>
      <w:r w:rsidRPr="000D69C9">
        <w:rPr>
          <w:rFonts w:ascii="Arial" w:eastAsia="Times New Roman" w:hAnsi="Arial" w:cs="Arial"/>
          <w:noProof/>
          <w:color w:val="222222"/>
          <w:sz w:val="21"/>
          <w:szCs w:val="21"/>
          <w:lang w:eastAsia="bg-BG"/>
        </w:rPr>
        <w:drawing>
          <wp:inline distT="0" distB="0" distL="0" distR="0">
            <wp:extent cx="1485900" cy="2035810"/>
            <wp:effectExtent l="0" t="0" r="0" b="2540"/>
            <wp:docPr id="7" name="Picture 7" descr="https://e-gov.bg/wps/wcm/connect/e-gov.bg-18083/9238d17a-ed6a-46b5-910d-6c9b561977ba/1/Picture6.png?MOD=AJP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-gov.bg/wps/wcm/connect/e-gov.bg-18083/9238d17a-ed6a-46b5-910d-6c9b561977ba/1/Picture6.png?MOD=AJPER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9C9">
        <w:rPr>
          <w:rFonts w:ascii="Arial" w:eastAsia="Times New Roman" w:hAnsi="Arial" w:cs="Arial"/>
          <w:color w:val="222222"/>
          <w:sz w:val="36"/>
          <w:szCs w:val="36"/>
          <w:lang w:eastAsia="bg-BG"/>
        </w:rPr>
        <w:t>МИЛЕНА СТОЙЧЕВА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♦ </w:t>
      </w:r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>Милена Стойчева,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 Председател на Управителния съвет на Български клъстер за дигитални решения и иновации в здравеопазването (DHI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Cluster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Bulgaria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) и изпълнителен директор на Джуниър Ачийвмънт България (JA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Bulgaria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)с богат национален и международен 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lastRenderedPageBreak/>
        <w:t>опит в областта на образованието, развитието на предприемачеството, бизнес уменията, икономическата и финансовата грамотност. гостуващ професор по иновации и предприемачество към Европейския институт за иновации и технологии.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Тя има дипломи от български и американски университети и специализации и обучения в UC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Berkeley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,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Stanford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,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Penn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State и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Cornell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University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. Участвала е като жури и ментор в екипите на Intel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Business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Challenge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Europe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/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Global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, в основния екип на Intel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Europe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Entrepreneurship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и е експерт по предприемачество при ОИСР и Европейската комисия. Тя е носител на наградата „Женско лидерство“, връчена и от американския посланик в България.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36"/>
          <w:szCs w:val="36"/>
          <w:lang w:eastAsia="bg-BG"/>
        </w:rPr>
      </w:pPr>
      <w:r w:rsidRPr="000D69C9">
        <w:rPr>
          <w:rFonts w:ascii="Arial" w:eastAsia="Times New Roman" w:hAnsi="Arial" w:cs="Arial"/>
          <w:noProof/>
          <w:color w:val="222222"/>
          <w:sz w:val="21"/>
          <w:szCs w:val="21"/>
          <w:lang w:eastAsia="bg-BG"/>
        </w:rPr>
        <w:drawing>
          <wp:inline distT="0" distB="0" distL="0" distR="0">
            <wp:extent cx="1540329" cy="2056367"/>
            <wp:effectExtent l="0" t="0" r="0" b="1270"/>
            <wp:docPr id="6" name="Picture 6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95" cy="20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r w:rsidRPr="000D69C9">
        <w:rPr>
          <w:rFonts w:ascii="Arial" w:eastAsia="Times New Roman" w:hAnsi="Arial" w:cs="Arial"/>
          <w:color w:val="222222"/>
          <w:sz w:val="36"/>
          <w:szCs w:val="36"/>
          <w:lang w:eastAsia="bg-BG"/>
        </w:rPr>
        <w:t>МИРА ГАНОВА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♦ </w:t>
      </w:r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>Мира Ганова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, изпълнителен директор на Български клъстер за дигитални решения и иновации в здравеопазването (DHI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Cluster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Bulgaria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), неправителствена организация, която подкрепя развитието на дигитални решения в сектор здравеопазване, с цел устойчивост и ефективност на системата. Мира Ганова има докторска степен в областта на организацията, управлението и бизнес комуникациите. Магистратура по „Връзки с обществеността“ и „Здравен Мениджмънт“. Професионалната ѝ кариера започва преди 13 години, като през това време е работила в сферата на комуникациите и управленските дейности в маркетинг и реклама, енергетика, политика и здравеопазване. През 2017 година заема длъжността директор на дирекция „Връзки с обществеността“ на Български лекарски съюз, а от 2019 година е изпълнителен директор на Български клъстер за дигитални решения и иновации в здравеопазването.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През последните години Мира Ганова развива експертиза в областта на дигиталното здравеопазване, B2B консултации, развитие на бизнес стратегии, стратегическо и управленско планиране в сектор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здравеопазванел</w:t>
      </w:r>
      <w:proofErr w:type="spellEnd"/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222222"/>
          <w:sz w:val="36"/>
          <w:szCs w:val="36"/>
          <w:lang w:eastAsia="bg-BG"/>
        </w:rPr>
      </w:pPr>
      <w:r w:rsidRPr="000D69C9">
        <w:rPr>
          <w:rFonts w:ascii="Arial" w:eastAsia="Times New Roman" w:hAnsi="Arial" w:cs="Arial"/>
          <w:noProof/>
          <w:color w:val="222222"/>
          <w:sz w:val="36"/>
          <w:szCs w:val="36"/>
          <w:lang w:eastAsia="bg-BG"/>
        </w:rPr>
        <w:drawing>
          <wp:inline distT="0" distB="0" distL="0" distR="0">
            <wp:extent cx="1643743" cy="2186009"/>
            <wp:effectExtent l="0" t="0" r="0" b="5080"/>
            <wp:docPr id="5" name="Picture 5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24" cy="22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9C9">
        <w:rPr>
          <w:rFonts w:ascii="Arial" w:eastAsia="Times New Roman" w:hAnsi="Arial" w:cs="Arial"/>
          <w:color w:val="222222"/>
          <w:sz w:val="36"/>
          <w:szCs w:val="36"/>
          <w:lang w:eastAsia="bg-BG"/>
        </w:rPr>
        <w:t>АЛЕКСАНДЪР АЛЕКСИЕВ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♦ </w:t>
      </w:r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>Александър Алексиев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, член на УС на DHI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Cluster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Bulgaria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и основател и изпълнителен директор на SAT Health; SAT Health е компания която вече четири години успешно създава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синергия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между различните компоненти на системата на здравеопазване. Александър 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lastRenderedPageBreak/>
        <w:t>Алексиев има повече от 15 години опит във фармацевтичния бранш. 10 години е част от една от най-големите анализаторски компании. Дипломира се с технически ориентирано стопанско управление в университета в Щутгарт. Има диплома от стопански факултет на Софийски Университет за бизнес администрация. Основаната от него компания е сертифициран доставчик на информация, анализи и технологични решения за целия сектор здравеопазване, като посреща нуждите на фармацевтични компании, медицински асоциации, административни органи, болници, дистрибутори, аптеки и пациенти.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Портфолиото от услуги е базирано на масивна проверка на данни и специализирани маркетингови проучвания в България и още над 20 държави в Европа.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222222"/>
          <w:sz w:val="36"/>
          <w:szCs w:val="36"/>
          <w:lang w:eastAsia="bg-BG"/>
        </w:rPr>
      </w:pPr>
      <w:bookmarkStart w:id="0" w:name="_GoBack"/>
      <w:bookmarkEnd w:id="0"/>
      <w:r w:rsidRPr="000D69C9">
        <w:rPr>
          <w:rFonts w:ascii="Arial" w:eastAsia="Times New Roman" w:hAnsi="Arial" w:cs="Arial"/>
          <w:noProof/>
          <w:color w:val="222222"/>
          <w:sz w:val="36"/>
          <w:szCs w:val="36"/>
          <w:lang w:eastAsia="bg-BG"/>
        </w:rPr>
        <w:drawing>
          <wp:inline distT="0" distB="0" distL="0" distR="0">
            <wp:extent cx="1556658" cy="2146908"/>
            <wp:effectExtent l="0" t="0" r="0" b="6350"/>
            <wp:docPr id="4" name="Picture 4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quot;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13" cy="21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36"/>
          <w:szCs w:val="36"/>
          <w:lang w:eastAsia="bg-BG"/>
        </w:rPr>
        <w:t xml:space="preserve"> </w:t>
      </w:r>
      <w:r w:rsidRPr="000D69C9">
        <w:rPr>
          <w:rFonts w:ascii="Arial" w:eastAsia="Times New Roman" w:hAnsi="Arial" w:cs="Arial"/>
          <w:color w:val="222222"/>
          <w:sz w:val="36"/>
          <w:szCs w:val="36"/>
          <w:lang w:eastAsia="bg-BG"/>
        </w:rPr>
        <w:t>ГЕОРГИ КЪДРЕВ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♦ </w:t>
      </w:r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 xml:space="preserve">Георги </w:t>
      </w:r>
      <w:proofErr w:type="spellStart"/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>Къдрев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, съосновател и главен изпълнителен директор на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Imagga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&amp;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Kelvin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Health; През 2008 г., докато учи в магистърска програма по “Технологично предприемачество" към ФМИ на СУ, Георги започва работа по проекта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Imagga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, който в последствие израства до компания технологичен лидер в областта разпознаване на изображения на база изкуствен интелект в световен мащаб.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Imagga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е призната за "Глобален иноватор в областта анализ на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изображeнеия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" за 2016 г. и от International Data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Corporation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(IDC). Самият Георги е отличен и като един от "30 под 30" от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Forbes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България за 2013 г. Малко след старта на COVID-19 пандемията, през м. март 2020 г.,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Imagga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съосновава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Kelvin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Health - компания за анализ на термални изображения на база изкуствен интелект, която си е поставила амбициозната цел да направи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скрийнинга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и мониторинга на редица здравословни състояния и заболявания достъпен и безвреден.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Това ще позволи масовата превенция на усложнения и профилактика за откриване на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понтенциално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неподозирани здравословни проблеми.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36"/>
          <w:szCs w:val="36"/>
          <w:lang w:eastAsia="bg-BG"/>
        </w:rPr>
      </w:pPr>
      <w:r w:rsidRPr="000D69C9">
        <w:rPr>
          <w:rFonts w:ascii="Arial" w:eastAsia="Times New Roman" w:hAnsi="Arial" w:cs="Arial"/>
          <w:noProof/>
          <w:color w:val="222222"/>
          <w:sz w:val="21"/>
          <w:szCs w:val="21"/>
          <w:lang w:eastAsia="bg-BG"/>
        </w:rPr>
        <w:drawing>
          <wp:inline distT="0" distB="0" distL="0" distR="0">
            <wp:extent cx="1431472" cy="1956946"/>
            <wp:effectExtent l="0" t="0" r="0" b="5715"/>
            <wp:docPr id="3" name="Picture 3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16" cy="19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9C9">
        <w:rPr>
          <w:rFonts w:ascii="Arial" w:eastAsia="Times New Roman" w:hAnsi="Arial" w:cs="Arial"/>
          <w:color w:val="222222"/>
          <w:sz w:val="36"/>
          <w:szCs w:val="36"/>
          <w:lang w:eastAsia="bg-BG"/>
        </w:rPr>
        <w:t>ДЕЯН БАЛТАДЖИЕВ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♦ </w:t>
      </w:r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>Деян Балтаджиев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, мениджър ИТ в “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Мапекс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АД; Той е част от екипа на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Мапекс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повече от 20 години. Неговият опит и изграден професионализъм са в основата на реализирането на множество проекти в областта на информационните технологии, с фокус върху географските информационни системи,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геопространствените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данни, цифрови модели, информационни 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lastRenderedPageBreak/>
        <w:t>системи за предоставяне на електронни и електронни административни услуги, облачни технологии за достъп до бази данни и други.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Под ръководство на Деян Балтаджиев са реализирани редица проекти в държавната и общинска администрация, дружества предоставящи обществени услуги в областта на ВиК сектора, частни фирми и други.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36"/>
          <w:szCs w:val="36"/>
          <w:lang w:eastAsia="bg-BG"/>
        </w:rPr>
      </w:pPr>
      <w:r w:rsidRPr="000D69C9">
        <w:rPr>
          <w:rFonts w:ascii="Arial" w:eastAsia="Times New Roman" w:hAnsi="Arial" w:cs="Arial"/>
          <w:noProof/>
          <w:color w:val="222222"/>
          <w:sz w:val="21"/>
          <w:szCs w:val="21"/>
          <w:lang w:eastAsia="bg-BG"/>
        </w:rPr>
        <w:drawing>
          <wp:inline distT="0" distB="0" distL="0" distR="0">
            <wp:extent cx="1337875" cy="1861457"/>
            <wp:effectExtent l="0" t="0" r="0" b="5715"/>
            <wp:docPr id="2" name="Picture 2" descr="Ч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47" cy="188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9C9">
        <w:rPr>
          <w:rFonts w:ascii="Arial" w:eastAsia="Times New Roman" w:hAnsi="Arial" w:cs="Arial"/>
          <w:color w:val="222222"/>
          <w:sz w:val="36"/>
          <w:szCs w:val="36"/>
          <w:lang w:eastAsia="bg-BG"/>
        </w:rPr>
        <w:t>СТАНИСЛАВ СТЕФАНОВ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♦ </w:t>
      </w:r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>Станислав Стефанов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, ръководител екип в “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Мапекс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” АД; От 2011 г. част  от ИТ екипа на Деян Балтаджиев. Той е сред водещите специалисти в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Мапекс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при генериране, разработване и реализация на иновативни софтуерни решения и продукти. Станислав Стефанов е част от екипа програмисти, стоящи в основата на идеята за продукта ГИС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Tobel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и неговото създаване. Именно на основата на този продукт е реализирано и приложението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Covid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Tobel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Станислав Стефанов е ръководител на проекта за разработване на уеб приложението за предоставяне на актуална информация, показваща статистически данни за разпространението на CОVID-19 в страната.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36"/>
          <w:szCs w:val="36"/>
          <w:lang w:eastAsia="bg-BG"/>
        </w:rPr>
      </w:pPr>
      <w:r w:rsidRPr="000D69C9">
        <w:rPr>
          <w:rFonts w:ascii="Arial" w:eastAsia="Times New Roman" w:hAnsi="Arial" w:cs="Arial"/>
          <w:noProof/>
          <w:color w:val="222222"/>
          <w:sz w:val="21"/>
          <w:szCs w:val="21"/>
          <w:lang w:eastAsia="bg-BG"/>
        </w:rPr>
        <w:drawing>
          <wp:inline distT="0" distB="0" distL="0" distR="0">
            <wp:extent cx="1398905" cy="1687195"/>
            <wp:effectExtent l="0" t="0" r="0" b="8255"/>
            <wp:docPr id="1" name="Picture 1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quot;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9C9">
        <w:rPr>
          <w:rFonts w:ascii="Arial" w:eastAsia="Times New Roman" w:hAnsi="Arial" w:cs="Arial"/>
          <w:color w:val="222222"/>
          <w:sz w:val="36"/>
          <w:szCs w:val="36"/>
          <w:lang w:eastAsia="bg-BG"/>
        </w:rPr>
        <w:t>ЯВОР МАРКОВ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br/>
        <w:t>♦ </w:t>
      </w:r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>Явор Марков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, доктор по математика, мениджър информационни технологии в Агенция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Стратегма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. Ръководи изпълнението на програмите на дружеството в областта на информационните технологии. Ръководи реализирането на проекти в областта на Информационните технологии. Участва в проектирането и разработването на софтуерни платформи, информационни системи, платформи за дистанционно обучение, платформи за събиран на данни. Занимава се с обработка, анализ и визуализация на статистическа информация и големи данни, машинно обучение и </w:t>
      </w:r>
      <w:proofErr w:type="spellStart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невронни</w:t>
      </w:r>
      <w:proofErr w:type="spellEnd"/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 xml:space="preserve"> мрежи.; 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 </w:t>
      </w:r>
    </w:p>
    <w:p w:rsidR="000D69C9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Модератор на срещата ще бъде </w:t>
      </w:r>
      <w:r w:rsidRPr="000D69C9">
        <w:rPr>
          <w:rFonts w:ascii="Arial" w:eastAsia="Times New Roman" w:hAnsi="Arial" w:cs="Arial"/>
          <w:b/>
          <w:bCs/>
          <w:color w:val="222222"/>
          <w:sz w:val="21"/>
          <w:szCs w:val="21"/>
          <w:lang w:eastAsia="bg-BG"/>
        </w:rPr>
        <w:t>Рени Борисова</w:t>
      </w: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, държавен експерт в отдел „Данни“ в ДАЕУ.</w:t>
      </w:r>
    </w:p>
    <w:p w:rsidR="006258DD" w:rsidRPr="000D69C9" w:rsidRDefault="000D69C9" w:rsidP="004B24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bg-BG"/>
        </w:rPr>
      </w:pPr>
      <w:r w:rsidRPr="000D69C9">
        <w:rPr>
          <w:rFonts w:ascii="Arial" w:eastAsia="Times New Roman" w:hAnsi="Arial" w:cs="Arial"/>
          <w:color w:val="222222"/>
          <w:sz w:val="21"/>
          <w:szCs w:val="21"/>
          <w:lang w:eastAsia="bg-BG"/>
        </w:rPr>
        <w:t>Може да проследите дискусията и да се включите със своите въпроси и коментари на следния линк: </w:t>
      </w:r>
      <w:hyperlink r:id="rId11" w:history="1">
        <w:r w:rsidRPr="000D69C9">
          <w:rPr>
            <w:rFonts w:ascii="Arial" w:eastAsia="Times New Roman" w:hAnsi="Arial" w:cs="Arial"/>
            <w:color w:val="01487F"/>
            <w:sz w:val="21"/>
            <w:szCs w:val="21"/>
            <w:lang w:eastAsia="bg-BG"/>
          </w:rPr>
          <w:t>https://daeu.webex.com/daeu/j.php?MTID=mdf185fa9625f2d2ee22bb70dc8f008b2</w:t>
        </w:r>
      </w:hyperlink>
    </w:p>
    <w:sectPr w:rsidR="006258DD" w:rsidRPr="000D6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9C9"/>
    <w:rsid w:val="000D69C9"/>
    <w:rsid w:val="004B248E"/>
    <w:rsid w:val="0062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22381-95B3-4F71-8973-8D70B83A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D69C9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D69C9"/>
    <w:rPr>
      <w:rFonts w:eastAsia="Times New Roman" w:cs="Times New Roman"/>
      <w:b/>
      <w:bCs/>
      <w:sz w:val="27"/>
      <w:szCs w:val="27"/>
      <w:lang w:eastAsia="bg-BG"/>
    </w:rPr>
  </w:style>
  <w:style w:type="paragraph" w:styleId="NormalWeb">
    <w:name w:val="Normal (Web)"/>
    <w:basedOn w:val="Normal"/>
    <w:uiPriority w:val="99"/>
    <w:semiHidden/>
    <w:unhideWhenUsed/>
    <w:rsid w:val="000D69C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0D69C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D69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33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aeu.webex.com/daeu/j.php?MTID=mdf185fa9625f2d2ee22bb70dc8f008b2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Reni S. Borisova</dc:creator>
  <cp:keywords/>
  <dc:description/>
  <cp:lastModifiedBy>Reni S. Borisova</cp:lastModifiedBy>
  <cp:revision>2</cp:revision>
  <dcterms:created xsi:type="dcterms:W3CDTF">2021-12-23T09:28:00Z</dcterms:created>
  <dcterms:modified xsi:type="dcterms:W3CDTF">2021-12-23T09:36:00Z</dcterms:modified>
</cp:coreProperties>
</file>