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7" w:rsidRPr="0049579F" w:rsidRDefault="00F36D1A">
      <w:pPr>
        <w:spacing w:after="0" w:line="240" w:lineRule="auto"/>
        <w:ind w:left="113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5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№2</w:t>
      </w:r>
    </w:p>
    <w:p w:rsidR="00680367" w:rsidRPr="0049579F" w:rsidRDefault="00AE6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9F">
        <w:rPr>
          <w:rFonts w:ascii="Times New Roman" w:hAnsi="Times New Roman" w:cs="Times New Roman"/>
          <w:b/>
          <w:sz w:val="24"/>
          <w:szCs w:val="24"/>
        </w:rPr>
        <w:t>ПРОЦЕДУРА ПО ПРОВЕРКА НА ИЗИСКВАНИЯ КЪМ ХАРДУЕРНАТА КОНФИГУРАЦИЯ НА УСТРОЙСТВАТА</w:t>
      </w:r>
    </w:p>
    <w:p w:rsidR="00680367" w:rsidRPr="0049579F" w:rsidRDefault="0068036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367" w:rsidRPr="0049579F" w:rsidRDefault="0068036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8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947"/>
        <w:gridCol w:w="3965"/>
        <w:gridCol w:w="145"/>
        <w:gridCol w:w="1981"/>
        <w:gridCol w:w="1560"/>
      </w:tblGrid>
      <w:tr w:rsidR="00680367" w:rsidRPr="0049579F" w:rsidTr="0016288A">
        <w:trPr>
          <w:trHeight w:val="1174"/>
        </w:trPr>
        <w:tc>
          <w:tcPr>
            <w:tcW w:w="145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към хардуерната конфигурация на устройствата  / Корпус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Корпус</w:t>
            </w:r>
          </w:p>
          <w:p w:rsidR="00680367" w:rsidRPr="0049579F" w:rsidRDefault="00F36D1A" w:rsidP="00AE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Компонентите на устройството за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машинно гласуване трябва да бъдат разположени в монолитен защитен корпус, чрез който да се възпрепятства директния достъп до комуникационните интерфейси</w:t>
            </w:r>
          </w:p>
        </w:tc>
      </w:tr>
      <w:tr w:rsidR="00680367" w:rsidRPr="0049579F" w:rsidTr="0016288A">
        <w:trPr>
          <w:trHeight w:val="31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367" w:rsidRPr="0049579F" w:rsidTr="0016288A">
        <w:trPr>
          <w:trHeight w:val="31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</w:t>
            </w:r>
            <w:bookmarkStart w:id="0" w:name="_GoBack"/>
            <w:bookmarkEnd w:id="0"/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</w:tc>
      </w:tr>
      <w:tr w:rsidR="00680367" w:rsidRPr="0049579F" w:rsidTr="0016288A">
        <w:trPr>
          <w:trHeight w:val="6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1.1 Проверка на интеграцията и защитата на основните компоненти на ТУМГ в  корпуса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Визуална проверка на конструктивното изпълнение на корпуса на ТУМГ и разположението на компонентите -  обработващи компоненти, принтер и  отделение за ролка за хартия, сензорен екран, четец на 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USB комуникационни интерфейси.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Проверка за наличие на неидентифицирани или неописани в документацията компоненти.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Предпоставки:</w:t>
            </w:r>
          </w:p>
          <w:p w:rsidR="00680367" w:rsidRPr="0049579F" w:rsidRDefault="00F36D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ТУМГ е едно устройство, което интегрира в монолитен корпус всички критични компоненти, като отделение за принтер и ролка за хартия, сензорен дисплей, четец 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>на смарткарти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USB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интерфейси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яма незащитени хардуерни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интерфейси, външен принтер, външен четец на смарт</w:t>
            </w:r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карти или монитор за компютър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яма налични неидентифицирани или неописани в документацията компоненти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16288A">
        <w:trPr>
          <w:trHeight w:val="361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 Проверка на разположението и защитата от достъп на </w:t>
            </w:r>
            <w:r w:rsidR="00C97ED3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комуникационния интерфейс 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контролната памет и смяната на хартията на ТУМГ 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3"/>
                <w:numId w:val="1"/>
              </w:num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Визуална проверка на всички налични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интерфейси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 начините на възпрепятстване на директен достъп до тях, възможности за заключване или поставяне на стикер.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1"/>
              </w:num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Визуална проверка на начина на достъп до смяна на хартията на принтера и начините на възпрепятстване на достъпа.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сички налични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интерфейси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на ТУМГ се намират в отделения, осигуряващи сигурно заключване или ограничаване на достъпа чрез сигурен стикер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остъпът до смяна на хартията на принтера е защитен чрез сигурно заключване или сигурен стикер.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16288A">
        <w:trPr>
          <w:trHeight w:val="361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1.3 Проверка за спазване изискванията на Закона за техническите изисквания към продуктите и за наличието на процедури за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съхранение, транспорт и разделно събиране и рециклиране на устройството.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Върху корпуса на всяко ТУМГ трябва да има трайно закрепена и четлива уникална оригинална маркировка най-малко със следните данни: производител, производствен номер, година на производство. Маркировката трябва да позволява еднозначно идентифициране на вида/типа/модификацията на устройството съгласно спецификацията на Производителя.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ТУМГ трябва да отговарят на изискванията на Наредбата за съществените изисквания и оценяване на съответствието на електрически съоръжения,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предназначени за използване в определени граници на напрежението - Приета с ПМС № 47 от 15.03.2016 г. (Обн. ДВ. бр.23 от 25 Март 2016г., изм. ДВ. бр.32 от 22 Април 2016г., в сила от 20.04.2016 г.) и Наредба за съществените изисквания и оценяване на съответствието  за електромагнитна съвместимост (Обн. ДВ. бр.23 от 25 Март 2016г.)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трябва да отговарят на изискванията на Наредбата за условията и реда за пускане на пазара на електрическо и електронно оборудване във връзка с ограниченията за употреба на определени опасни вещества, приета с ПМС № 55 от 06.03.2013 г.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трябва да отговарят на изискванията на Наредбата за излязлото от употреба електрическо и електронно оборудване - приета с ПМС № 256 от 13.11.2013 г., (обн., ДВ, бр. 100 от 19.11.2013 г., в сила от 01.01.2014 г. Изм. ДВ. бр.30 от 15 Април 2016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Проверка за наличие на процедури на Производителя за съхранение и транспорт на ТУМГ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AE173F" w:rsidRDefault="00F36D1A" w:rsidP="001353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F">
              <w:rPr>
                <w:rFonts w:ascii="Times New Roman" w:hAnsi="Times New Roman" w:cs="Times New Roman"/>
                <w:sz w:val="24"/>
                <w:szCs w:val="24"/>
              </w:rPr>
              <w:t>Проверка за наличие на сертификати за указване на специфични изисквания към околната среда при експлоатация на ТУМГ</w:t>
            </w:r>
            <w:r w:rsidR="00AE173F" w:rsidRPr="00AE173F">
              <w:rPr>
                <w:rFonts w:ascii="Times New Roman" w:hAnsi="Times New Roman" w:cs="Times New Roman"/>
                <w:sz w:val="24"/>
                <w:szCs w:val="24"/>
              </w:rPr>
              <w:t xml:space="preserve"> или резултати от проведено изпитване.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Изпълнителя;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аличие на трайно закрепена и четлива уникална оригинална маркировка с необходимата информация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декларация за съответствие съгласно Наредба за съществените изисквания и оценяване на съответствието на електрически съоръжения, предназначени за използване в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 граници на напрежението или протоколи от изпитвания, издадени от акредитирани лаборатории и маркировка съгласно Наредба за маркировката за съответствие (Обн. ДВ. бр.69 от 23.08.2005г.)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аличие на декларация за съответствие и маркировка в  съответствие с Наредбата за условията и реда за пускане на пазара на електрическо и електронно оборудване във връзка с ограниченията за употреба на определени опасни вещества, приета с ПМС № 55 от 06.03.2013 г.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аличие на маркировка със символ за маркиране на електрическо и електронно оборудван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аличие на процедури, осигуряващи работоспособността на ТУМГ след съхранение и транспорт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сертификати за удостоверяване на работоспособността на ТУМГ по отношение на температурен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 на използване, относителна влажност, допустими вибрации, влаго</w:t>
            </w:r>
            <w:r w:rsidR="007C487B" w:rsidRPr="00495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прахо-защитеност и други приложими документи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A" w:rsidRPr="0016288A" w:rsidRDefault="0016288A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16288A">
        <w:trPr>
          <w:trHeight w:val="791"/>
        </w:trPr>
        <w:tc>
          <w:tcPr>
            <w:tcW w:w="145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ентрален процесор</w:t>
            </w:r>
          </w:p>
          <w:p w:rsidR="00680367" w:rsidRPr="0049579F" w:rsidRDefault="00F36D1A" w:rsidP="0061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в съответствие с минималните изисквания на използваната операционна система и софтуер за ТУМГ, минимална тактова честота 1 GHz, Intel/AMD/ARM</w:t>
            </w:r>
          </w:p>
        </w:tc>
      </w:tr>
      <w:tr w:rsidR="00680367" w:rsidRPr="0049579F" w:rsidTr="0016288A">
        <w:trPr>
          <w:trHeight w:val="31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</w:tr>
      <w:tr w:rsidR="00680367" w:rsidRPr="0049579F" w:rsidTr="0016288A">
        <w:trPr>
          <w:trHeight w:val="450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2.1 Проверка на минималните изисквания към процесора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 Преглед на техническата документация, предоставена от Изпълнителя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в частта „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>тактова честота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“ и „производител“.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Визуална проверка на маркировката на вградения в ТУМГ процесор.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6E7F47" w:rsidRDefault="00F36D1A">
            <w:pPr>
              <w:pStyle w:val="ListParagraph"/>
              <w:numPr>
                <w:ilvl w:val="0"/>
                <w:numId w:val="24"/>
              </w:numPr>
              <w:tabs>
                <w:tab w:val="left" w:pos="321"/>
              </w:tabs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проверка за съответствието на параметрите с изискванията на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>техническите изисквания към апаратната и програмната част на техническите устройства за машинно гласуване (ТУМГ), определени от ЦИК,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се извършва при зареждане на ОС.</w:t>
            </w:r>
          </w:p>
          <w:p w:rsidR="00680367" w:rsidRPr="0049579F" w:rsidRDefault="00680367">
            <w:p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 w:rsidP="00071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ъгласно предоставената техническа документация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тактовата честота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на процесора е 1 GHz или по-висока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процесорът е Intel, AMD или ARM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аркировката отговаря на предоставената техническа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тойностите на параметрите, установени чрез използването на системните инструменти на ОС, отговарят на техническата документация.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16288A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67" w:rsidRPr="0049579F" w:rsidRDefault="006803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4625" w:type="dxa"/>
        <w:tblLook w:val="04A0" w:firstRow="1" w:lastRow="0" w:firstColumn="1" w:lastColumn="0" w:noHBand="0" w:noVBand="1"/>
      </w:tblPr>
      <w:tblGrid>
        <w:gridCol w:w="6966"/>
        <w:gridCol w:w="4011"/>
        <w:gridCol w:w="1692"/>
        <w:gridCol w:w="1720"/>
        <w:gridCol w:w="65"/>
        <w:gridCol w:w="171"/>
      </w:tblGrid>
      <w:tr w:rsidR="00680367" w:rsidRPr="0049579F" w:rsidTr="0049579F">
        <w:trPr>
          <w:gridAfter w:val="1"/>
          <w:wAfter w:w="171" w:type="dxa"/>
          <w:trHeight w:val="1174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3.Изисквания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Pr="0049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памет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В съответствие с минималните изисквания за използваната операционна сист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>ема и софтуер на ТУМГ, минимум 4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3.1 Проверка на минималните изисквания към оперативната памет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 Преглед на техническата документация, предоставена от Изпълнителя, за размера на вградената оперативна памет.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 Визуална проверка на маркировката на вградената оперативна памет.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6E7F47" w:rsidRDefault="00F36D1A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проверка за съответствието на параметрите с изискванията на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техническите изисквания към апаратната и програмната част на техническите устройства за машинно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гласуване (ТУМГ), определени от ЦИК,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се извършва при зареждане на ОС.</w:t>
            </w:r>
          </w:p>
          <w:p w:rsidR="00680367" w:rsidRPr="0049579F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>ументация оперативната памет е 4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GB или по-голяма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тойностите на параметрите, установени чрез използването на системните инструменти на ОС, отговарят на техническата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50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1A">
              <w:rPr>
                <w:rFonts w:ascii="Times New Roman" w:hAnsi="Times New Roman" w:cs="Times New Roman"/>
                <w:sz w:val="24"/>
                <w:szCs w:val="24"/>
              </w:rPr>
              <w:t>Съответства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791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 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ътрешна енергонезависима памет</w:t>
            </w:r>
          </w:p>
          <w:p w:rsidR="00680367" w:rsidRPr="0049579F" w:rsidRDefault="00F36D1A" w:rsidP="0061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</w:t>
            </w:r>
            <w:r w:rsidR="00127BB3"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съответствие с минималните изисквания на използваната операционна система и со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>фтуер за ТУМГ, минимален обем 32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GB, SSD/MMC/eMMC. Не се допуска използването на вътрешна памет с подвижни части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4.1 Проверка на минималните изисквания към оперативната памет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 Преглед на техническата документация, предоставена от Изпълнителя, за размера на вътрешната енергоне</w:t>
            </w:r>
            <w:r w:rsidR="00127BB3" w:rsidRPr="004957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ависима памет. 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tabs>
                <w:tab w:val="left" w:pos="321"/>
              </w:tabs>
              <w:spacing w:after="0" w:line="240" w:lineRule="auto"/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Визуална проверка на маркировката на вътрешната енергонезависима памет.</w:t>
            </w:r>
          </w:p>
          <w:p w:rsidR="00680367" w:rsidRPr="0049579F" w:rsidRDefault="00680367">
            <w:pPr>
              <w:pStyle w:val="ListParagraph"/>
              <w:tabs>
                <w:tab w:val="left" w:pos="321"/>
              </w:tabs>
              <w:spacing w:after="0" w:line="240" w:lineRule="auto"/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6E7F47" w:rsidRDefault="00F36D1A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проверка за съответствието на параметрите с изискванията на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техническите изисквания към апаратната и програмната част на техническите устройства за машинно гласуване (ТУМГ), определени от ЦИК,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се извършва при зареждане на ОС.</w:t>
            </w:r>
          </w:p>
          <w:p w:rsidR="00680367" w:rsidRPr="006E7F47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изуалната проверка се извършва при отворена/частично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отворена ТУМГ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>кументация вътрешната памет е 32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GB или по-голяма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технологията на вътрешната памет е SSD, или MMC или eMMC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тойностите на параметрите, установени чрез използването на системните инструменти на ОС,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отговарят на техническата 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50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1A">
              <w:rPr>
                <w:rFonts w:ascii="Times New Roman" w:hAnsi="Times New Roman" w:cs="Times New Roman"/>
                <w:sz w:val="24"/>
                <w:szCs w:val="24"/>
              </w:rPr>
              <w:t>Съответства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аписващо техническо устройство (ЗТУ/контролни памети)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USB Тип A Flash памет, с минимален обем 1 GB, стандарт USB 2.0. Ако за произвеждания избор има възможност за произвеждане на втори тур, е   необходимо предоставянето на допълнително записващо техническо устройство. Участникът може да предложи и използването на повече от едно ЗТУ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5.1 Проверка на минималните изисквания към записващото техническо устройство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Преглед на техническата документация, предоставена от Изпълнителя, за размера и стандарта на предоставеното ЗТУ.</w:t>
            </w: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6E7F47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проверка за съответствието на параметрите с изискванията на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техническите изисквания към апаратната и програмната част на техническите устройства за машинно гласуване (ТУМГ), определени от ЦИК,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се извършва при зареждане на ОС или независимо на външен компютър.</w:t>
            </w: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ЗТУ е 1 GB или по-голямо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ЗТУ е USB 2.0.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тойностите на параметрите, установени чрез използването на системните инструменти на ОС, отговарят на техническата 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Проверка на съвместимостта на ЗТУ с наличните </w:t>
            </w:r>
            <w:r w:rsidR="00F96967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комуникационни интерфейси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ТУМГ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14"/>
              </w:numPr>
              <w:spacing w:after="12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Преглед на техническата документация, предоставена от Изпълнителя за ТУМГ, за  налични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контролна памет.</w:t>
            </w: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Предпоставки:</w:t>
            </w:r>
          </w:p>
          <w:p w:rsidR="00680367" w:rsidRPr="0049579F" w:rsidRDefault="00F36D1A">
            <w:pPr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 w:rsidP="00F9696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ъгласно предоставената техническа документация ТУМГ включва поне един хардуерен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комуникационен интерфейс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USB 2.0 или  по-висок с тип А конектор.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 Проверка на механичната съвместимост на ЗТУ с ТУМГ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Визуална проверка на конструкцията на ЗТУ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Свързване на ЗТУ към наличен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комуникационен интерфейс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в ТУМГ, както е указано в Ръководството за експлоатация, доставено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Ограничаване на достъпа  до ЗТУ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чрез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>пломби/стикери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или стикер и проверка на сигурността.</w:t>
            </w: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ЗТУ, предоставени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ъководство за експлоатация, предоставено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E7F47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пломби/стикери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1A" w:rsidRPr="006E7F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възпрепятстване на директен достъп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ЗТУ включва USB тип А конектор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ЗТУ може да се постави в хардуерен интерфейс и отделение, както е указано в Ръководството за експлоатация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онструктивното изпълнение на ТУМГ позволява ограничаване на достъпа срещу манипулация или отстраняване на ЗТУ, както е указано в ръководството на Изпълнителя.</w:t>
            </w:r>
          </w:p>
          <w:p w:rsidR="00680367" w:rsidRPr="0049579F" w:rsidRDefault="00680367">
            <w:pPr>
              <w:spacing w:after="0" w:line="240" w:lineRule="auto"/>
              <w:ind w:left="360" w:hanging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ензорен дисплей</w:t>
            </w:r>
          </w:p>
          <w:p w:rsidR="00680367" w:rsidRPr="0049579F" w:rsidRDefault="00F36D1A" w:rsidP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>параметри: минимален диагонал 17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“, минимална резолюция - XGA, допуска се резистивен или капацитивен принцип на работа на сензорния дисплей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6.1 Проверка на минималните изисквания към сензорния дисплей според техническата документация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на минималните изисквания към оперативната 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памет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 Преглед на техническата документация, предоставена от Изпълнителя за спецификацията на сензорния дисплей, включително размерите на активната област, резолюция и технология на сензорния дисплей.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 Визуална проверка на маркировката на сензорния дисплей.</w:t>
            </w:r>
          </w:p>
          <w:p w:rsidR="00680367" w:rsidRPr="0049579F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 w:rsidP="00AE6C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 w:rsidP="00AE6CBD">
            <w:pPr>
              <w:pStyle w:val="ListParagraph"/>
              <w:numPr>
                <w:ilvl w:val="0"/>
                <w:numId w:val="29"/>
              </w:numPr>
              <w:spacing w:after="0" w:line="252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активната област на  екрана на сензор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>ния дисплей е с диагонал поне 17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минималната резолюция на дисплея е XGA или по-голяма. 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технологията на сензорния дисплей е капацитивна или резистивна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16288A" w:rsidRPr="0049579F" w:rsidRDefault="0016288A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устройствата/Компоненти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ечатащо устройство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принтер за печат с ролкова хартия, минимална поддържана резол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>юция на печата 200dpi, ширина 80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mm и нож за автоматично отрязване на контролната разписка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7.1 Проверка на минималните изисквания към печатащото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Преглед на техническата документация, предоставена от Изпълнителя, за печатащото устройство.</w:t>
            </w: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Визуална проверка на маркировката на печатащото</w:t>
            </w: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  Устройство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3. Правилното функциониране на устройството се установява при проверката на функционалността на ТУМГ по т.3.</w:t>
            </w: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Съгласно предоставената техническа документация: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резолюцията на принтера е 200 dpi или по-голяма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>оддържаната хартия е с ширина 80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мм или по-широка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принтерът включва автоматичен нож, контролиран чрез софтуер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ринтерът може да реализира автоматично отрязване на контролната разписка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стройството изпълнява всички предвидени функции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Изисквания към хардуерната конфигурация на устройствата  / Компоненти. </w:t>
            </w:r>
          </w:p>
          <w:p w:rsidR="00680367" w:rsidRPr="006E7F47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Четец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смарткарта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Full size PC/SC SmartCard четец за контактни </w:t>
            </w:r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смарт-карти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 ISO/IEC 7816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 xml:space="preserve"> за А,В и С електронни карти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, CCID интерфейс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Проверете минималните изисквания към четеца за </w:t>
            </w:r>
            <w:r w:rsidR="00935DE8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смарт-карта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1. Преглед на техническата документация, предоставена от </w:t>
            </w:r>
            <w:r w:rsidR="00F34787" w:rsidRPr="0049579F">
              <w:rPr>
                <w:rFonts w:ascii="Times New Roman" w:hAnsi="Times New Roman" w:cs="Times New Roman"/>
                <w:sz w:val="24"/>
                <w:szCs w:val="24"/>
              </w:rPr>
              <w:t>Изпълнителя,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съвместимост на предоставените четци за 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 PC / SC, поддържани стандарти и интерфейс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Правилното функциониране на устройството се установява при проверката на функционалността на ТУМГ по т.3. и т.4.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 w:rsidP="00AE6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Съгласно предоставената техническа документация: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ълноразмерният четец е вътрешен/външен по отношение на монолитния корпус на ТУМГ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етецът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смарт-карти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е пълноразмерен PC/SC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поддържа стандарт ISO/IEC 7816 за </w:t>
            </w:r>
            <w:r w:rsidR="00B805F8">
              <w:rPr>
                <w:rFonts w:ascii="Times New Roman" w:hAnsi="Times New Roman" w:cs="Times New Roman"/>
                <w:sz w:val="24"/>
                <w:szCs w:val="24"/>
              </w:rPr>
              <w:t xml:space="preserve">А,В и С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контакти карти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поддържа CCID интерфейс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стройството изпълнява всички предвидени функции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6288A" w:rsidRPr="0049579F" w:rsidRDefault="0016288A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Компоненти.</w:t>
            </w:r>
          </w:p>
          <w:p w:rsidR="008E53F1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 5 броя  Full size, ISO/IEC 7816, Common Criteria – EAL4+,  минимално поддържани криптографски алгоритми RSA 2048 bits, SHA2-256, наличие на OpenSC съвместим PKCS#11 provider. </w:t>
            </w:r>
          </w:p>
          <w:p w:rsidR="00680367" w:rsidRPr="0049579F" w:rsidRDefault="00935DE8" w:rsidP="00935D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>Смарт</w:t>
            </w:r>
            <w:r w:rsidR="0061573E"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>карти</w:t>
            </w:r>
            <w:r w:rsidR="00F36D1A"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>те трябва да бъдат брандирани с пълноцветен печат по дизайн, одобрен от ЦИК.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 Проверка на минималните изисквания към </w:t>
            </w:r>
            <w:r w:rsidR="00935DE8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смарт</w:t>
            </w:r>
            <w:r w:rsidR="0061573E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5DE8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карти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те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1.  Преглед на техническата документация, предоставена от Изпълнителя, за спецификацията на предоставените 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 съвместимост със стандарти и поддържани криптографски алгоритми.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0"/>
                <w:numId w:val="14"/>
              </w:numPr>
              <w:tabs>
                <w:tab w:val="left" w:pos="321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Картите са небрандирани, брандират се след одобрение на дизайна от ЦИК.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3. Правилното функциониране на 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при използването им се установява при проверката на функционалността на ТУМГ по по т.3. и т.4.</w:t>
            </w:r>
          </w:p>
          <w:p w:rsidR="00680367" w:rsidRPr="0049579F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 w:rsidP="00AE6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pStyle w:val="ListParagraph"/>
              <w:spacing w:after="0" w:line="252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ъгласно техническата документация предоставените </w:t>
            </w:r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смарт-карти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са Full size, наличие на декларация за съответствие с изискванията на  ISO/IEC 7816, наличие на сертификат за съответствие с  Common Criteria – EAL4+,  ( EN ISO/IEC 15408 -</w:t>
            </w:r>
            <w:r w:rsidR="00F36D1A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Information technology — Security techniques — Evaluation criteria for IT security</w:t>
            </w:r>
            <w:r w:rsidR="00F36D1A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,  минимално поддържани криптографски алгоритми RSA 2048 bits, SHA2-256, наличие на OpenSC съвместим PKCS#11 provider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 към всяка ТУМГ съдържа 5 бр. </w:t>
            </w:r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смарт-карти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марткарти</w:t>
            </w:r>
            <w:r w:rsidR="00F36D1A" w:rsidRPr="008E53F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изпълняват всички предвидени функции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16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Хартия за контролни ролки</w:t>
            </w:r>
          </w:p>
          <w:p w:rsidR="00680367" w:rsidRPr="0049579F" w:rsidRDefault="00F36D1A">
            <w:pPr>
              <w:pStyle w:val="Normal1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eastAsiaTheme="minorHAnsi" w:hAnsi="Times New Roman" w:cs="Times New Roman"/>
                <w:sz w:val="24"/>
                <w:szCs w:val="24"/>
              </w:rPr>
              <w:t>Минимални п</w:t>
            </w:r>
            <w:r w:rsidR="004F02E8">
              <w:rPr>
                <w:rFonts w:ascii="Times New Roman" w:eastAsiaTheme="minorHAnsi" w:hAnsi="Times New Roman" w:cs="Times New Roman"/>
                <w:sz w:val="24"/>
                <w:szCs w:val="24"/>
              </w:rPr>
              <w:t>араметри:  Минимална широчина 80</w:t>
            </w:r>
            <w:r w:rsidRPr="0049579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mm. Необходимия брой ролки, осигуряващ възможност за отпечатване на 1100 контролни разписки </w:t>
            </w:r>
            <w:r w:rsidR="004F02E8">
              <w:rPr>
                <w:rFonts w:ascii="Times New Roman" w:eastAsiaTheme="minorHAnsi" w:hAnsi="Times New Roman" w:cs="Times New Roman"/>
                <w:sz w:val="24"/>
                <w:szCs w:val="24"/>
              </w:rPr>
              <w:t>с дължина 7 см.</w:t>
            </w:r>
            <w:r w:rsidRPr="0049579F">
              <w:rPr>
                <w:rFonts w:ascii="Times New Roman" w:eastAsiaTheme="minorHAnsi" w:hAnsi="Times New Roman" w:cs="Times New Roman"/>
                <w:sz w:val="24"/>
                <w:szCs w:val="24"/>
              </w:rPr>
              <w:t>и предвидените протоколи от ТУМГ</w:t>
            </w:r>
          </w:p>
          <w:p w:rsidR="00680367" w:rsidRPr="0049579F" w:rsidRDefault="00F36D1A">
            <w:pPr>
              <w:pStyle w:val="Normal1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eastAsiaTheme="minorHAnsi" w:hAnsi="Times New Roman" w:cs="Times New Roman"/>
                <w:sz w:val="24"/>
                <w:szCs w:val="24"/>
              </w:rPr>
              <w:t>Хартията трябва да бъде непрозрачна, защитена с отпечатък на гърба по дизайн, одобрен от ЦИК, както и да няма визуален маркер в края на ролката. Участникът може да предложи и допълнителни мерки за защита на контролните разписки.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При съхранение в нормална стайна температура и без пряка слънчева светлина хартията трябва да може да съхрани отпечатъка за период от минимум 5 години – доказано със съответния сертификат.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10.1 Проверка на минималните изисквания към хартията за контролните разписки според техническата документация</w:t>
            </w:r>
          </w:p>
          <w:p w:rsidR="00680367" w:rsidRPr="0049579F" w:rsidRDefault="00F36D1A">
            <w:pPr>
              <w:numPr>
                <w:ilvl w:val="0"/>
                <w:numId w:val="1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Проверка на техническата документация, предоставена от Изпълнителя, за тестване на хартия и търсене на ширина и дължина на хартиената ролка, маркер за близък край на хартията, условия на съхранение и продължителност на живота на отпечатания документ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Изчисляване необходимата дължина на хартията, за да се отпечатат 1100 контролни разписки</w:t>
            </w:r>
            <w:r w:rsidR="004F02E8">
              <w:rPr>
                <w:rFonts w:ascii="Times New Roman" w:hAnsi="Times New Roman" w:cs="Times New Roman"/>
                <w:sz w:val="24"/>
                <w:szCs w:val="24"/>
              </w:rPr>
              <w:t>с дължина 7 см.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планираните ТУМГ протоколи, като се използват данните, предоставени от Изпълнителя. 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ължина на контролната разписка, 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ължина на планираните ТУМГ протоколи,  предоставени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оличество хартиени ролки, необходимо за събитие, посочено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ертификат за съответствие с изискването за 5-годишен срок на съхранение на отпечатъка.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техническата документация шири</w:t>
            </w:r>
            <w:r w:rsidR="004F02E8">
              <w:rPr>
                <w:rFonts w:ascii="Times New Roman" w:hAnsi="Times New Roman" w:cs="Times New Roman"/>
                <w:sz w:val="24"/>
                <w:szCs w:val="24"/>
              </w:rPr>
              <w:t>ната на ролката хартия е поне 80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техническата документация ролката не включва (Near End Of Paper) маркер за свършване на хартията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техническата документация на печатащото устройство при използване на тази хартия трайността на отпечатъка на документ е 5 години или повече, ако е съхранявана при стайна температура, защитена от пряка слънчева светлина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оличеството хартиени ролки на събитие, посочено от Изпълнителя, е достатъчно за отпечатване на 1100 контролни разписки  и планираните за ТУМГ протоколи.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EF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Мрежови кабели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 Необходимите захранващи кабели за включване на машината за гласуване в електрическата мрежа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11.1 Проверка захранващият кабел, доставен с ТУМГ, да позволява свързването й към електрическия контакт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техническата документация, предоставена от Изпълнителя, за електрическите характеристики на ТУМГ и 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комплектността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предоставения кабел и захранващ адаптер (ако има такъв) преди свързване в мрежата.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Визуална проверка на вида на щепсела в края на кабела, който е предназначен за свързване към електрическия контакт за съвместимост. 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Свързване на кабела или променливотоковия адаптер към ТУМГ и към електрическата мрежа, ако са отделени.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Включване на ТУМГ, както е указано от Изпълнителя, чрез предвидения бутон/ключ.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в комплектност и монтирана така, както ще се постави в избирателната секция.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ри визуална проверка крайният щепсел на захранващия кабел е тип F (Шуко – CEE 7/3)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абелът може да се включи към  ел. </w:t>
            </w:r>
            <w:r w:rsidR="006E7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онтакт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се включва.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EF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Автономна работа при прекъсване на електрозахранването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 Трябва да дава възможност за автономна работа на устройството минимум 30 мин. при пълен заряд, както и да осигурява защита при подаване на нестандартно напрежение от захранващата мрежа. Допуска се извън корпуса на устройството за бъ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 разположен</w:t>
            </w:r>
            <w:r w:rsidR="006E7F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>батерия</w:t>
            </w:r>
            <w:r w:rsidR="006E7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C98">
              <w:rPr>
                <w:rFonts w:ascii="Times New Roman" w:hAnsi="Times New Roman" w:cs="Times New Roman"/>
                <w:sz w:val="24"/>
                <w:szCs w:val="24"/>
                <w:shd w:val="clear" w:color="auto" w:fill="FFE599" w:themeFill="accent4" w:themeFillTint="66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12.1 Проверка на възможността за автономна работа при прекъсване на електрозахранването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Проверка на техническата документация, предоставена от Изпълнителя, за електрическите характеристики на ТУМГ и непрекъсваемото токозахранващо устройство (UPS) в комплектацията.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Визуална проверка за наличие на непрекъсваемото токозахранващо устройство (UPS) в комплектацията и неговата маркировка.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9"/>
              </w:numPr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в комплектност и монтирана така, както ще се постави в избирателната секция.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апацитета на непрекъсваемото токозахранващо устройство (UPS) позволява автономна работа повече от 30 мин. при декларираната съгласно техническата документация консумацията на ТУМГ.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EF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68036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12.2 Проверка в експлоатация за възможност ТУМГ да работи в продължение на 30 минути без електрическо захранване от захранването в електрическия контакт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Проверка за свързването на ТУМГ към електрическия контакт и към непрекъсваемото токозахранващо устройство (UPS) едновременно.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Стартиране на тестов процес на гласуване.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Изключване ТУМГ от електрическия контакт.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Продължаване процес на автономна работа 30 минути.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Включване на ТУМГ в електрическия контакт.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Продължаване на  гласуването. </w:t>
            </w:r>
          </w:p>
          <w:p w:rsidR="00680367" w:rsidRPr="0049579F" w:rsidRDefault="00F36D1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 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ТУМГ, свързана към захранването в електрическия контакт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епрекъсваемо токозахранващо устройство (UPS) със 100% зареждане, свързано според указанията на Изпълнителя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еобходимите </w:t>
            </w:r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E7F47">
              <w:rPr>
                <w:rFonts w:ascii="Times New Roman" w:hAnsi="Times New Roman" w:cs="Times New Roman"/>
                <w:sz w:val="24"/>
                <w:szCs w:val="24"/>
              </w:rPr>
              <w:t>избирател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ктивна сесия по гласуване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сигуряване на процес от последователно извършване на действия по гласуване.</w:t>
            </w:r>
          </w:p>
          <w:p w:rsidR="00680367" w:rsidRPr="0049579F" w:rsidRDefault="0068036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ТУМГ продължава да работи нормално, когато захранването от електрическия контакт е изключено - няма прекъсване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втономна работа с осъществяване на процеси по гласуване може да продължи 30 минути без включване или изключване на ТУМГ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продължава да работи нормално, когато захранването от електрическия контакт е отново включено - няма прекъсване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EF0F29" w:rsidRPr="0049579F" w:rsidRDefault="00EF0F29" w:rsidP="004F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Пломби/сигурни стикери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 Според предложеното от 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Изпълнителя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 решение – средства за идентифициране на опити за отваряне на монолитния защитен корпус. Пломбите/сигурните стикери трябва да бъдат с уникална номерация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13.1 Проверка на предложеното техническо решение – средства за идентифициране на опити за отваряне на монолитния защитен корпус.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Проверка на съответствието на номерацията на пломбите/стикери и разрядността ѝ за съ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тветствие с необходимия брой еднократни уникални средства.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Проверка дали за всички елементи, за които е предвидена защита, позволяват поставянето на пломба/стикер.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за възможността на достъп до защитени съставни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/или компоненти/ без разрушаване на пломба/стикер или без идентифициране на опита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AE6C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ломби/стикери, предоставени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нструкции за поставяне на пломбите/стикери, предоставени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редвидени са достатъчен брой пломбите/стикери с необходимата уникална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номерация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сички необходими елементи могат да бъдат защитени с пломби/стикери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 w:rsidP="00AE6CBD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редвидените пломби/стикери и начините на поставянето им не позволяват достъп до защитените елементи без разрушаването им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EF0F29" w:rsidRPr="0049579F" w:rsidRDefault="00EF0F29" w:rsidP="00EF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Поверителност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ПИН пликове</w:t>
            </w:r>
          </w:p>
          <w:p w:rsidR="00680367" w:rsidRPr="0049579F" w:rsidRDefault="00F36D1A" w:rsidP="006E7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 2 бр., непрозрачни, съдържащи потребителски ПИН за </w:t>
            </w:r>
            <w:r w:rsidR="00935DE8" w:rsidRPr="006E7F47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за управл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14.1 Проверка на предложените пликове за изискванията за поверителност.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Проверка за невъзможност за разпознаване на напечатан тек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 през двете страни на плика.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Проверка за невъзможност за достъп до съдържанието на плика без разрушаване на ц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лостта му.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 бр. предвидени пликове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екстово съобщение в предвидения формат и шрифт за потребителски ПИН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ликовете не позволяват разпознаване на текст, разположен в тях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ликовете не позволяват достъп до съдържанието без разрушаване.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EF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 w:rsidP="00EF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към хардуерната конфигурация на устройствата  / Поверителност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Непрозрачна урна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контролни разписки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Минимални параметри:  С необходимия обем за съхранение на отпечатаните контролни разписки, отвор за пускането им в горната част и възможност за запечатване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 Проверка на конструкцията и изискванията за поверителност на </w:t>
            </w:r>
            <w:r w:rsidRPr="006E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урната 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за контролни разписки.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Проверка за невъзможност за разпознаване на напечатан тек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 през стена на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урната.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Проверка на предвидения начин за запечатване на урната и невъзможност за достъп до съдържанието без разрушаване на запечатването.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Урната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трябва да осигурява при максимално запълване разстояние до отвора, равно на дължината на една контролна разписка.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10 бр. Контролни разписки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еклариран обем на контролни разписки, за които е предвидена.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атериалът на стените на </w:t>
            </w:r>
            <w:r w:rsidR="00F36D1A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урната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не позволява разпознаване на текст, плътно прилепен до тях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онструкцията не позволяват достъп до съдържанието без разрушаване на запечатването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 w:rsidP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бемът на </w:t>
            </w:r>
            <w:r w:rsidR="00F36D1A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урната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позволява съхранението на необходимия обем контролни разписки и приемането на разписки до запълването му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 w:rsidP="00EF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 w:rsidP="00EF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към хардуерната конфигурация на устройствата  / Поверителност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Параван за ограничаване на видимостта от странични наблюдатели при гласуване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 Непрозрачна преграда, целяща да ограничи видимостта от странични наблюдатели по време на гласуване. Възможно е да бъде и вграден в машината за гласуване или участника да предложи друг равностоен защитен механизъм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16.1 Проверка на конструкцията на паравана за ограничаване на видимостта от странични наблюдатели при гласуване.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spacing w:after="120"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Проверка на избраното конструктивно решение за паравана за ограничаване на видимостта - вградено или подвижно.</w:t>
            </w:r>
          </w:p>
          <w:p w:rsidR="00680367" w:rsidRPr="0049579F" w:rsidRDefault="00F36D1A">
            <w:pPr>
              <w:spacing w:after="120"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Ако е нужно,  инсталиране на паравана, съгласно инструкцията на Изпълнителя.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3.  Проверка на ъгъла на защита съглас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о избраното конструктивно решение и документацията на Изпълнителя.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Предпоставки : </w:t>
            </w:r>
          </w:p>
          <w:p w:rsidR="00680367" w:rsidRPr="0049579F" w:rsidRDefault="00F36D1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с включена сесия за гласуване</w:t>
            </w:r>
            <w:r w:rsidR="00AE6CBD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игура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гласоподавател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збраното конструктивно решение на паравана ограничава видимостта от странични наблюдатели по време на гласуване.</w:t>
            </w: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EF0F29" w:rsidRPr="0049579F" w:rsidRDefault="00EF0F29" w:rsidP="004F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5164" w:type="pct"/>
        <w:tblLook w:val="04A0" w:firstRow="1" w:lastRow="0" w:firstColumn="1" w:lastColumn="0" w:noHBand="0" w:noVBand="1"/>
      </w:tblPr>
      <w:tblGrid>
        <w:gridCol w:w="7196"/>
        <w:gridCol w:w="4030"/>
        <w:gridCol w:w="1727"/>
        <w:gridCol w:w="1733"/>
      </w:tblGrid>
      <w:tr w:rsidR="0049579F" w:rsidRPr="0049579F" w:rsidTr="0049579F">
        <w:trPr>
          <w:trHeight w:val="655"/>
        </w:trPr>
        <w:tc>
          <w:tcPr>
            <w:tcW w:w="5000" w:type="pct"/>
            <w:gridSpan w:val="4"/>
          </w:tcPr>
          <w:p w:rsidR="0049579F" w:rsidRPr="0049579F" w:rsidRDefault="0049579F" w:rsidP="0049579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 хардуерната система</w:t>
            </w:r>
          </w:p>
        </w:tc>
      </w:tr>
      <w:tr w:rsidR="0049579F" w:rsidRPr="0049579F" w:rsidTr="0049579F">
        <w:trPr>
          <w:trHeight w:val="315"/>
        </w:trPr>
        <w:tc>
          <w:tcPr>
            <w:tcW w:w="2450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онстатация /Забележка</w:t>
            </w: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17.1 Защита на хардуерните интерфейси – м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ашината за гласуване не трябва да излага незащитени интерфейси, извън монолитния корпус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Не трябва да бъдат открити незащитени хардуерни интерфейси извън монолитния корпус на ТУМГ</w:t>
            </w:r>
          </w:p>
        </w:tc>
        <w:tc>
          <w:tcPr>
            <w:tcW w:w="588" w:type="pct"/>
          </w:tcPr>
          <w:p w:rsidR="0049579F" w:rsidRPr="0049579F" w:rsidRDefault="0049579F" w:rsidP="0050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17.2 Опит за достъп до физически интерфейси на машината без да бъде нарушена целостта на стикерите / пломбите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Нарушена цялост на стикери / пломби в случай на опит за физически достъп до интерфейс на ТУМГ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17.3 Проверка за наличие на активни комуникационни интерфейси вградени в ТУМГ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Липса на комуникационни модули. В случай, че има комуникационни модули, те да бъдат деактивирани от базовата входно-изходна система (BIOS). </w:t>
            </w:r>
          </w:p>
        </w:tc>
        <w:tc>
          <w:tcPr>
            <w:tcW w:w="588" w:type="pct"/>
          </w:tcPr>
          <w:p w:rsidR="0049579F" w:rsidRPr="0049579F" w:rsidRDefault="0049579F" w:rsidP="0050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 Проверка за наличие на вградени комуникационни антени в ТУМГ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Антените да са премахнати или прекъснати от комуникационните модули.</w:t>
            </w:r>
          </w:p>
        </w:tc>
        <w:tc>
          <w:tcPr>
            <w:tcW w:w="588" w:type="pct"/>
          </w:tcPr>
          <w:p w:rsidR="0049579F" w:rsidRPr="0049579F" w:rsidRDefault="0049579F" w:rsidP="0050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17.5 Проверка дали цялата комуникационна подсистема, обслужваща различните комуникационни протоколи, е премахната.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Цялата комуникационна подсистема, обслужваща различните комуникационни протоколи, е премахната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17.6 Проверка за наличие на специализирани интерфейси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 случай, че има специализирани интерфейси, те да са деактивирани от базовата входно-изходна система (BIOS) или да са физически прекъснати (например микрофон/аудио изход/сериен порт/паралелен порт).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17.7 Проверка дали интерфейсите за контролните памети са осигурени чрез сигурно заключване или чрез сигурен стикер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Интерфейсите за контролните памети са осигурени чрез сигурно заключване или чрез сигурен стикер.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17.8 Проверка за наличие на подвижни части в ТУМГ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Да не бъдат открити подвижни части в ТУМГ</w:t>
            </w:r>
          </w:p>
        </w:tc>
        <w:tc>
          <w:tcPr>
            <w:tcW w:w="588" w:type="pct"/>
          </w:tcPr>
          <w:p w:rsidR="0049579F" w:rsidRPr="0049579F" w:rsidRDefault="0049579F" w:rsidP="0050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8E53F1">
        <w:trPr>
          <w:trHeight w:val="450"/>
        </w:trPr>
        <w:tc>
          <w:tcPr>
            <w:tcW w:w="2450" w:type="pct"/>
            <w:shd w:val="clear" w:color="auto" w:fill="auto"/>
          </w:tcPr>
          <w:p w:rsidR="0049579F" w:rsidRPr="0049579F" w:rsidRDefault="00ED5FA9" w:rsidP="008E53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9579F" w:rsidRPr="0049579F">
              <w:rPr>
                <w:rFonts w:ascii="Times New Roman" w:hAnsi="Times New Roman" w:cs="Times New Roman"/>
                <w:sz w:val="24"/>
                <w:szCs w:val="24"/>
              </w:rPr>
              <w:t>9 Проверка за електромагнитни излъчвания</w:t>
            </w:r>
            <w:r w:rsidR="008E5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579F" w:rsidRPr="0049579F">
              <w:rPr>
                <w:rFonts w:ascii="Times New Roman" w:hAnsi="Times New Roman" w:cs="Times New Roman"/>
                <w:sz w:val="24"/>
                <w:szCs w:val="24"/>
              </w:rPr>
              <w:t>чрез които може да се идентифицира състоянието и данните, свързани с процеса на гласуване</w:t>
            </w:r>
          </w:p>
        </w:tc>
        <w:tc>
          <w:tcPr>
            <w:tcW w:w="1372" w:type="pct"/>
            <w:shd w:val="clear" w:color="auto" w:fill="auto"/>
          </w:tcPr>
          <w:p w:rsidR="0049579F" w:rsidRPr="0049579F" w:rsidRDefault="008E53F1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Невъзможност, чрез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електромагнитни излъчвания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се  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>идентифицира състоянието и данните, свързани с процеса на гласуване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67" w:rsidRPr="0049579F" w:rsidRDefault="006803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0367" w:rsidRPr="0049579F" w:rsidRDefault="00680367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80367" w:rsidRPr="0049579F" w:rsidRDefault="00680367">
      <w:pPr>
        <w:rPr>
          <w:rFonts w:ascii="Times New Roman" w:hAnsi="Times New Roman" w:cs="Times New Roman"/>
          <w:sz w:val="24"/>
          <w:szCs w:val="24"/>
        </w:rPr>
      </w:pPr>
    </w:p>
    <w:sectPr w:rsidR="00680367" w:rsidRPr="0049579F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3" w:rsidRDefault="008D6C33">
      <w:pPr>
        <w:spacing w:after="0" w:line="240" w:lineRule="auto"/>
      </w:pPr>
      <w:r>
        <w:separator/>
      </w:r>
    </w:p>
  </w:endnote>
  <w:endnote w:type="continuationSeparator" w:id="0">
    <w:p w:rsidR="008D6C33" w:rsidRDefault="008D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91214"/>
      <w:docPartObj>
        <w:docPartGallery w:val="Page Numbers (Bottom of Page)"/>
        <w:docPartUnique/>
      </w:docPartObj>
    </w:sdtPr>
    <w:sdtEndPr/>
    <w:sdtContent>
      <w:p w:rsidR="00B805F8" w:rsidRDefault="00B805F8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F0CAF">
          <w:rPr>
            <w:noProof/>
          </w:rPr>
          <w:t>1</w:t>
        </w:r>
        <w:r>
          <w:fldChar w:fldCharType="end"/>
        </w:r>
      </w:p>
    </w:sdtContent>
  </w:sdt>
  <w:p w:rsidR="00B805F8" w:rsidRDefault="00B80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3" w:rsidRDefault="008D6C33">
      <w:pPr>
        <w:spacing w:after="0" w:line="240" w:lineRule="auto"/>
      </w:pPr>
      <w:r>
        <w:separator/>
      </w:r>
    </w:p>
  </w:footnote>
  <w:footnote w:type="continuationSeparator" w:id="0">
    <w:p w:rsidR="008D6C33" w:rsidRDefault="008D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283"/>
    <w:multiLevelType w:val="multilevel"/>
    <w:tmpl w:val="F2CE54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D0234E"/>
    <w:multiLevelType w:val="multilevel"/>
    <w:tmpl w:val="1E6694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">
    <w:nsid w:val="0E080B01"/>
    <w:multiLevelType w:val="multilevel"/>
    <w:tmpl w:val="BB786CFC"/>
    <w:lvl w:ilvl="0">
      <w:start w:val="1"/>
      <w:numFmt w:val="lowerLetter"/>
      <w:lvlText w:val="%1."/>
      <w:lvlJc w:val="left"/>
      <w:pPr>
        <w:ind w:left="1648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3">
    <w:nsid w:val="10390091"/>
    <w:multiLevelType w:val="multilevel"/>
    <w:tmpl w:val="D3785F9A"/>
    <w:lvl w:ilvl="0">
      <w:start w:val="1"/>
      <w:numFmt w:val="lowerLetter"/>
      <w:lvlText w:val="%1."/>
      <w:lvlJc w:val="left"/>
      <w:pPr>
        <w:ind w:left="1648" w:hanging="360"/>
      </w:pPr>
      <w:rPr>
        <w:b w:val="0"/>
        <w:sz w:val="24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4">
    <w:nsid w:val="1B5659DE"/>
    <w:multiLevelType w:val="multilevel"/>
    <w:tmpl w:val="D8BC3108"/>
    <w:lvl w:ilvl="0">
      <w:start w:val="2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5">
    <w:nsid w:val="1D50425B"/>
    <w:multiLevelType w:val="multilevel"/>
    <w:tmpl w:val="BD64176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568B"/>
    <w:multiLevelType w:val="multilevel"/>
    <w:tmpl w:val="A696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alibri" w:cs="Calibri"/>
        <w:b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F2D19CA"/>
    <w:multiLevelType w:val="multilevel"/>
    <w:tmpl w:val="3790213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6A3F"/>
    <w:multiLevelType w:val="multilevel"/>
    <w:tmpl w:val="65D62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147279A"/>
    <w:multiLevelType w:val="multilevel"/>
    <w:tmpl w:val="18503C5A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0">
    <w:nsid w:val="37225EE3"/>
    <w:multiLevelType w:val="multilevel"/>
    <w:tmpl w:val="DFE4B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9371FE6"/>
    <w:multiLevelType w:val="multilevel"/>
    <w:tmpl w:val="C8C0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CEF7063"/>
    <w:multiLevelType w:val="multilevel"/>
    <w:tmpl w:val="B6F2D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E4058E8"/>
    <w:multiLevelType w:val="hybridMultilevel"/>
    <w:tmpl w:val="17FA1FB0"/>
    <w:lvl w:ilvl="0" w:tplc="E51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B668E"/>
    <w:multiLevelType w:val="multilevel"/>
    <w:tmpl w:val="2644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D05EEB"/>
    <w:multiLevelType w:val="multilevel"/>
    <w:tmpl w:val="56767134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sz w:val="24"/>
      </w:rPr>
    </w:lvl>
    <w:lvl w:ilvl="1">
      <w:start w:val="5"/>
      <w:numFmt w:val="decimal"/>
      <w:lvlText w:val="%1.%2."/>
      <w:lvlJc w:val="left"/>
      <w:pPr>
        <w:ind w:left="1174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eastAsia="Calibri"/>
      </w:rPr>
    </w:lvl>
  </w:abstractNum>
  <w:abstractNum w:abstractNumId="16">
    <w:nsid w:val="40025642"/>
    <w:multiLevelType w:val="multilevel"/>
    <w:tmpl w:val="F6BAE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32E0238"/>
    <w:multiLevelType w:val="multilevel"/>
    <w:tmpl w:val="BFAA9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48A3779"/>
    <w:multiLevelType w:val="hybridMultilevel"/>
    <w:tmpl w:val="2ECCBE4E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46560CF4"/>
    <w:multiLevelType w:val="multilevel"/>
    <w:tmpl w:val="5686C9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0">
    <w:nsid w:val="4786110D"/>
    <w:multiLevelType w:val="multilevel"/>
    <w:tmpl w:val="A6FE00CC"/>
    <w:lvl w:ilvl="0">
      <w:start w:val="1"/>
      <w:numFmt w:val="bullet"/>
      <w:lvlText w:val=""/>
      <w:lvlJc w:val="left"/>
      <w:pPr>
        <w:ind w:left="6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21">
    <w:nsid w:val="4A625B5E"/>
    <w:multiLevelType w:val="multilevel"/>
    <w:tmpl w:val="CCB48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B143D2"/>
    <w:multiLevelType w:val="hybridMultilevel"/>
    <w:tmpl w:val="E6BECB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11634"/>
    <w:multiLevelType w:val="multilevel"/>
    <w:tmpl w:val="D53C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4">
    <w:nsid w:val="61293FA4"/>
    <w:multiLevelType w:val="multilevel"/>
    <w:tmpl w:val="830A819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D4666"/>
    <w:multiLevelType w:val="multilevel"/>
    <w:tmpl w:val="03AE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ED6D0E"/>
    <w:multiLevelType w:val="multilevel"/>
    <w:tmpl w:val="DEA01C90"/>
    <w:lvl w:ilvl="0">
      <w:start w:val="1"/>
      <w:numFmt w:val="lowerLetter"/>
      <w:lvlText w:val="%1."/>
      <w:lvlJc w:val="left"/>
      <w:pPr>
        <w:ind w:left="1648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7">
    <w:nsid w:val="679B653E"/>
    <w:multiLevelType w:val="multilevel"/>
    <w:tmpl w:val="6C349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B7649C"/>
    <w:multiLevelType w:val="multilevel"/>
    <w:tmpl w:val="1E7AA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24246E"/>
    <w:multiLevelType w:val="multilevel"/>
    <w:tmpl w:val="AA668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54AEA"/>
    <w:multiLevelType w:val="multilevel"/>
    <w:tmpl w:val="56207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6"/>
  </w:num>
  <w:num w:numId="5">
    <w:abstractNumId w:val="23"/>
  </w:num>
  <w:num w:numId="6">
    <w:abstractNumId w:val="4"/>
  </w:num>
  <w:num w:numId="7">
    <w:abstractNumId w:val="19"/>
  </w:num>
  <w:num w:numId="8">
    <w:abstractNumId w:val="25"/>
  </w:num>
  <w:num w:numId="9">
    <w:abstractNumId w:val="17"/>
  </w:num>
  <w:num w:numId="10">
    <w:abstractNumId w:val="21"/>
  </w:num>
  <w:num w:numId="11">
    <w:abstractNumId w:val="11"/>
  </w:num>
  <w:num w:numId="12">
    <w:abstractNumId w:val="30"/>
  </w:num>
  <w:num w:numId="13">
    <w:abstractNumId w:val="8"/>
  </w:num>
  <w:num w:numId="14">
    <w:abstractNumId w:val="0"/>
  </w:num>
  <w:num w:numId="15">
    <w:abstractNumId w:val="9"/>
  </w:num>
  <w:num w:numId="16">
    <w:abstractNumId w:val="26"/>
  </w:num>
  <w:num w:numId="17">
    <w:abstractNumId w:val="3"/>
  </w:num>
  <w:num w:numId="18">
    <w:abstractNumId w:val="2"/>
  </w:num>
  <w:num w:numId="19">
    <w:abstractNumId w:val="14"/>
  </w:num>
  <w:num w:numId="20">
    <w:abstractNumId w:val="27"/>
  </w:num>
  <w:num w:numId="21">
    <w:abstractNumId w:val="20"/>
  </w:num>
  <w:num w:numId="22">
    <w:abstractNumId w:val="28"/>
  </w:num>
  <w:num w:numId="23">
    <w:abstractNumId w:val="15"/>
  </w:num>
  <w:num w:numId="24">
    <w:abstractNumId w:val="5"/>
  </w:num>
  <w:num w:numId="25">
    <w:abstractNumId w:val="29"/>
  </w:num>
  <w:num w:numId="26">
    <w:abstractNumId w:val="24"/>
  </w:num>
  <w:num w:numId="27">
    <w:abstractNumId w:val="7"/>
  </w:num>
  <w:num w:numId="28">
    <w:abstractNumId w:val="12"/>
  </w:num>
  <w:num w:numId="29">
    <w:abstractNumId w:val="1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67"/>
    <w:rsid w:val="00035C0D"/>
    <w:rsid w:val="0007123A"/>
    <w:rsid w:val="00086F00"/>
    <w:rsid w:val="000C1C09"/>
    <w:rsid w:val="000D3BD3"/>
    <w:rsid w:val="000E433A"/>
    <w:rsid w:val="00127BB3"/>
    <w:rsid w:val="0016288A"/>
    <w:rsid w:val="002072C4"/>
    <w:rsid w:val="002238A2"/>
    <w:rsid w:val="0033518D"/>
    <w:rsid w:val="003520C5"/>
    <w:rsid w:val="0049579F"/>
    <w:rsid w:val="00495C98"/>
    <w:rsid w:val="004F02E8"/>
    <w:rsid w:val="0050531A"/>
    <w:rsid w:val="00517E7C"/>
    <w:rsid w:val="006121C3"/>
    <w:rsid w:val="0061573E"/>
    <w:rsid w:val="006674E3"/>
    <w:rsid w:val="00680367"/>
    <w:rsid w:val="006E7F47"/>
    <w:rsid w:val="006F4EB4"/>
    <w:rsid w:val="007C487B"/>
    <w:rsid w:val="008B763E"/>
    <w:rsid w:val="008D2728"/>
    <w:rsid w:val="008D6C33"/>
    <w:rsid w:val="008E53F1"/>
    <w:rsid w:val="00913587"/>
    <w:rsid w:val="00935DE8"/>
    <w:rsid w:val="00AE173F"/>
    <w:rsid w:val="00AE6CBD"/>
    <w:rsid w:val="00AF0CAF"/>
    <w:rsid w:val="00B71C5B"/>
    <w:rsid w:val="00B805F8"/>
    <w:rsid w:val="00C71C07"/>
    <w:rsid w:val="00C97ED3"/>
    <w:rsid w:val="00CE35FF"/>
    <w:rsid w:val="00D216AD"/>
    <w:rsid w:val="00E04739"/>
    <w:rsid w:val="00E161AE"/>
    <w:rsid w:val="00ED5FA9"/>
    <w:rsid w:val="00EF0F29"/>
    <w:rsid w:val="00F34787"/>
    <w:rsid w:val="00F36D1A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90"/>
    <w:pPr>
      <w:suppressAutoHyphens/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566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56690"/>
    <w:rPr>
      <w:rFonts w:asciiTheme="minorHAnsi" w:hAnsiTheme="minorHAnsi" w:cstheme="minorBid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669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C5C0C"/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C5C0C"/>
    <w:rPr>
      <w:rFonts w:asciiTheme="minorHAnsi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Calibri" w:cs="Calibri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b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Symbol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Calibri" w:cs="Calibri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Arial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Arial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rFonts w:cs="Arial"/>
      <w:b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b w:val="0"/>
      <w:sz w:val="24"/>
    </w:rPr>
  </w:style>
  <w:style w:type="character" w:customStyle="1" w:styleId="ListLabel127">
    <w:name w:val="ListLabel 127"/>
    <w:qFormat/>
    <w:rPr>
      <w:rFonts w:cs="Arial"/>
      <w:b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Arial"/>
    </w:rPr>
  </w:style>
  <w:style w:type="character" w:customStyle="1" w:styleId="ListLabel133">
    <w:name w:val="ListLabel 133"/>
    <w:qFormat/>
    <w:rPr>
      <w:rFonts w:cs="Arial"/>
    </w:rPr>
  </w:style>
  <w:style w:type="character" w:customStyle="1" w:styleId="ListLabel134">
    <w:name w:val="ListLabel 134"/>
    <w:qFormat/>
    <w:rPr>
      <w:rFonts w:cs="Arial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rFonts w:cs="Arial"/>
      <w:b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Calibri"/>
      <w:sz w:val="24"/>
    </w:rPr>
  </w:style>
  <w:style w:type="character" w:customStyle="1" w:styleId="ListLabel154">
    <w:name w:val="ListLabel 154"/>
    <w:qFormat/>
    <w:rPr>
      <w:rFonts w:eastAsia="Calibri"/>
    </w:rPr>
  </w:style>
  <w:style w:type="character" w:customStyle="1" w:styleId="ListLabel155">
    <w:name w:val="ListLabel 155"/>
    <w:qFormat/>
    <w:rPr>
      <w:rFonts w:eastAsia="Calibri"/>
    </w:rPr>
  </w:style>
  <w:style w:type="character" w:customStyle="1" w:styleId="ListLabel156">
    <w:name w:val="ListLabel 156"/>
    <w:qFormat/>
    <w:rPr>
      <w:rFonts w:eastAsia="Calibri"/>
    </w:rPr>
  </w:style>
  <w:style w:type="character" w:customStyle="1" w:styleId="ListLabel157">
    <w:name w:val="ListLabel 157"/>
    <w:qFormat/>
    <w:rPr>
      <w:rFonts w:eastAsia="Calibri"/>
    </w:rPr>
  </w:style>
  <w:style w:type="character" w:customStyle="1" w:styleId="ListLabel158">
    <w:name w:val="ListLabel 158"/>
    <w:qFormat/>
    <w:rPr>
      <w:rFonts w:eastAsia="Calibri"/>
    </w:rPr>
  </w:style>
  <w:style w:type="character" w:customStyle="1" w:styleId="ListLabel159">
    <w:name w:val="ListLabel 159"/>
    <w:qFormat/>
    <w:rPr>
      <w:rFonts w:eastAsia="Calibri"/>
    </w:rPr>
  </w:style>
  <w:style w:type="character" w:customStyle="1" w:styleId="ListLabel160">
    <w:name w:val="ListLabel 160"/>
    <w:qFormat/>
    <w:rPr>
      <w:rFonts w:eastAsia="Calibri"/>
    </w:rPr>
  </w:style>
  <w:style w:type="character" w:customStyle="1" w:styleId="ListLabel161">
    <w:name w:val="ListLabel 161"/>
    <w:qFormat/>
    <w:rPr>
      <w:rFonts w:eastAsia="Calibri"/>
    </w:rPr>
  </w:style>
  <w:style w:type="character" w:customStyle="1" w:styleId="ListLabel162">
    <w:name w:val="ListLabel 162"/>
    <w:qFormat/>
    <w:rPr>
      <w:rFonts w:eastAsia="Calibri"/>
    </w:rPr>
  </w:style>
  <w:style w:type="character" w:customStyle="1" w:styleId="ListLabel163">
    <w:name w:val="ListLabel 163"/>
    <w:qFormat/>
    <w:rPr>
      <w:rFonts w:eastAsia="Calibri"/>
      <w:b/>
    </w:rPr>
  </w:style>
  <w:style w:type="character" w:customStyle="1" w:styleId="ListLabel164">
    <w:name w:val="ListLabel 164"/>
    <w:qFormat/>
    <w:rPr>
      <w:rFonts w:eastAsia="Calibri"/>
    </w:rPr>
  </w:style>
  <w:style w:type="character" w:customStyle="1" w:styleId="ListLabel165">
    <w:name w:val="ListLabel 165"/>
    <w:qFormat/>
    <w:rPr>
      <w:rFonts w:eastAsia="Calibri"/>
    </w:rPr>
  </w:style>
  <w:style w:type="character" w:customStyle="1" w:styleId="ListLabel166">
    <w:name w:val="ListLabel 166"/>
    <w:qFormat/>
    <w:rPr>
      <w:rFonts w:eastAsia="Calibri"/>
    </w:rPr>
  </w:style>
  <w:style w:type="character" w:customStyle="1" w:styleId="ListLabel167">
    <w:name w:val="ListLabel 167"/>
    <w:qFormat/>
    <w:rPr>
      <w:rFonts w:eastAsia="Calibri"/>
    </w:rPr>
  </w:style>
  <w:style w:type="character" w:customStyle="1" w:styleId="ListLabel168">
    <w:name w:val="ListLabel 168"/>
    <w:qFormat/>
    <w:rPr>
      <w:rFonts w:eastAsia="Calibri"/>
    </w:rPr>
  </w:style>
  <w:style w:type="character" w:customStyle="1" w:styleId="ListLabel169">
    <w:name w:val="ListLabel 169"/>
    <w:qFormat/>
    <w:rPr>
      <w:rFonts w:eastAsia="Calibri"/>
    </w:rPr>
  </w:style>
  <w:style w:type="character" w:customStyle="1" w:styleId="ListLabel170">
    <w:name w:val="ListLabel 170"/>
    <w:qFormat/>
    <w:rPr>
      <w:rFonts w:eastAsia="Calibri"/>
    </w:rPr>
  </w:style>
  <w:style w:type="character" w:customStyle="1" w:styleId="ListLabel171">
    <w:name w:val="ListLabel 171"/>
    <w:qFormat/>
    <w:rPr>
      <w:rFonts w:eastAsia="Calibri"/>
    </w:rPr>
  </w:style>
  <w:style w:type="character" w:customStyle="1" w:styleId="ListLabel172">
    <w:name w:val="ListLabel 172"/>
    <w:qFormat/>
    <w:rPr>
      <w:rFonts w:eastAsia="Calibri"/>
    </w:rPr>
  </w:style>
  <w:style w:type="character" w:customStyle="1" w:styleId="ListLabel173">
    <w:name w:val="ListLabel 173"/>
    <w:qFormat/>
    <w:rPr>
      <w:rFonts w:eastAsia="Calibri"/>
    </w:rPr>
  </w:style>
  <w:style w:type="character" w:customStyle="1" w:styleId="ListLabel174">
    <w:name w:val="ListLabel 174"/>
    <w:qFormat/>
    <w:rPr>
      <w:rFonts w:eastAsia="Calibri"/>
    </w:rPr>
  </w:style>
  <w:style w:type="character" w:customStyle="1" w:styleId="ListLabel175">
    <w:name w:val="ListLabel 175"/>
    <w:qFormat/>
    <w:rPr>
      <w:rFonts w:eastAsia="Calibri"/>
    </w:rPr>
  </w:style>
  <w:style w:type="character" w:customStyle="1" w:styleId="ListLabel176">
    <w:name w:val="ListLabel 176"/>
    <w:qFormat/>
    <w:rPr>
      <w:rFonts w:eastAsia="Calibri"/>
    </w:rPr>
  </w:style>
  <w:style w:type="character" w:customStyle="1" w:styleId="ListLabel177">
    <w:name w:val="ListLabel 177"/>
    <w:qFormat/>
    <w:rPr>
      <w:rFonts w:eastAsia="Calibri"/>
    </w:rPr>
  </w:style>
  <w:style w:type="character" w:customStyle="1" w:styleId="ListLabel178">
    <w:name w:val="ListLabel 178"/>
    <w:qFormat/>
    <w:rPr>
      <w:rFonts w:eastAsia="Calibri"/>
    </w:rPr>
  </w:style>
  <w:style w:type="character" w:customStyle="1" w:styleId="ListLabel179">
    <w:name w:val="ListLabel 179"/>
    <w:qFormat/>
    <w:rPr>
      <w:rFonts w:eastAsia="Calibri"/>
    </w:rPr>
  </w:style>
  <w:style w:type="character" w:customStyle="1" w:styleId="ListLabel180">
    <w:name w:val="ListLabel 180"/>
    <w:qFormat/>
    <w:rPr>
      <w:rFonts w:eastAsia="Calibri"/>
    </w:rPr>
  </w:style>
  <w:style w:type="character" w:customStyle="1" w:styleId="ListLabel181">
    <w:name w:val="ListLabel 181"/>
    <w:qFormat/>
    <w:rPr>
      <w:rFonts w:eastAsia="Calibri"/>
      <w:b/>
      <w:sz w:val="24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eastAsia="Calibri"/>
    </w:rPr>
  </w:style>
  <w:style w:type="character" w:customStyle="1" w:styleId="ListLabel192">
    <w:name w:val="ListLabel 192"/>
    <w:qFormat/>
    <w:rPr>
      <w:rFonts w:eastAsia="Calibri"/>
    </w:rPr>
  </w:style>
  <w:style w:type="character" w:customStyle="1" w:styleId="ListLabel193">
    <w:name w:val="ListLabel 193"/>
    <w:qFormat/>
    <w:rPr>
      <w:rFonts w:eastAsia="Calibri"/>
    </w:rPr>
  </w:style>
  <w:style w:type="character" w:customStyle="1" w:styleId="ListLabel194">
    <w:name w:val="ListLabel 194"/>
    <w:qFormat/>
    <w:rPr>
      <w:rFonts w:eastAsia="Calibri"/>
    </w:rPr>
  </w:style>
  <w:style w:type="character" w:customStyle="1" w:styleId="ListLabel195">
    <w:name w:val="ListLabel 195"/>
    <w:qFormat/>
    <w:rPr>
      <w:rFonts w:eastAsia="Calibri"/>
    </w:rPr>
  </w:style>
  <w:style w:type="character" w:customStyle="1" w:styleId="ListLabel196">
    <w:name w:val="ListLabel 196"/>
    <w:qFormat/>
    <w:rPr>
      <w:rFonts w:eastAsia="Calibri"/>
    </w:rPr>
  </w:style>
  <w:style w:type="character" w:customStyle="1" w:styleId="ListLabel197">
    <w:name w:val="ListLabel 197"/>
    <w:qFormat/>
    <w:rPr>
      <w:rFonts w:eastAsia="Calibri"/>
    </w:rPr>
  </w:style>
  <w:style w:type="character" w:customStyle="1" w:styleId="ListLabel198">
    <w:name w:val="ListLabel 198"/>
    <w:qFormat/>
    <w:rPr>
      <w:rFonts w:eastAsia="Calibri"/>
    </w:rPr>
  </w:style>
  <w:style w:type="character" w:customStyle="1" w:styleId="ListLabel199">
    <w:name w:val="ListLabel 199"/>
    <w:qFormat/>
    <w:rPr>
      <w:rFonts w:eastAsia="Calibr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6690"/>
    <w:pPr>
      <w:ind w:left="720"/>
      <w:contextualSpacing/>
    </w:pPr>
  </w:style>
  <w:style w:type="paragraph" w:customStyle="1" w:styleId="Normal1">
    <w:name w:val="Normal1"/>
    <w:qFormat/>
    <w:rsid w:val="00156690"/>
    <w:pPr>
      <w:widowControl w:val="0"/>
      <w:suppressAutoHyphens/>
    </w:pPr>
    <w:rPr>
      <w:rFonts w:ascii="Liberation Serif" w:eastAsia="Times New Roman" w:hAnsi="Liberation Serif" w:cs="Liberation Serif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56690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66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C0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C5C0C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1566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579F"/>
    <w:pPr>
      <w:suppressAutoHyphens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90"/>
    <w:pPr>
      <w:suppressAutoHyphens/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566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56690"/>
    <w:rPr>
      <w:rFonts w:asciiTheme="minorHAnsi" w:hAnsiTheme="minorHAnsi" w:cstheme="minorBid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669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C5C0C"/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C5C0C"/>
    <w:rPr>
      <w:rFonts w:asciiTheme="minorHAnsi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Calibri" w:cs="Calibri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b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Symbol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Calibri" w:cs="Calibri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Arial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Arial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rFonts w:cs="Arial"/>
      <w:b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b w:val="0"/>
      <w:sz w:val="24"/>
    </w:rPr>
  </w:style>
  <w:style w:type="character" w:customStyle="1" w:styleId="ListLabel127">
    <w:name w:val="ListLabel 127"/>
    <w:qFormat/>
    <w:rPr>
      <w:rFonts w:cs="Arial"/>
      <w:b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Arial"/>
    </w:rPr>
  </w:style>
  <w:style w:type="character" w:customStyle="1" w:styleId="ListLabel133">
    <w:name w:val="ListLabel 133"/>
    <w:qFormat/>
    <w:rPr>
      <w:rFonts w:cs="Arial"/>
    </w:rPr>
  </w:style>
  <w:style w:type="character" w:customStyle="1" w:styleId="ListLabel134">
    <w:name w:val="ListLabel 134"/>
    <w:qFormat/>
    <w:rPr>
      <w:rFonts w:cs="Arial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rFonts w:cs="Arial"/>
      <w:b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Calibri"/>
      <w:sz w:val="24"/>
    </w:rPr>
  </w:style>
  <w:style w:type="character" w:customStyle="1" w:styleId="ListLabel154">
    <w:name w:val="ListLabel 154"/>
    <w:qFormat/>
    <w:rPr>
      <w:rFonts w:eastAsia="Calibri"/>
    </w:rPr>
  </w:style>
  <w:style w:type="character" w:customStyle="1" w:styleId="ListLabel155">
    <w:name w:val="ListLabel 155"/>
    <w:qFormat/>
    <w:rPr>
      <w:rFonts w:eastAsia="Calibri"/>
    </w:rPr>
  </w:style>
  <w:style w:type="character" w:customStyle="1" w:styleId="ListLabel156">
    <w:name w:val="ListLabel 156"/>
    <w:qFormat/>
    <w:rPr>
      <w:rFonts w:eastAsia="Calibri"/>
    </w:rPr>
  </w:style>
  <w:style w:type="character" w:customStyle="1" w:styleId="ListLabel157">
    <w:name w:val="ListLabel 157"/>
    <w:qFormat/>
    <w:rPr>
      <w:rFonts w:eastAsia="Calibri"/>
    </w:rPr>
  </w:style>
  <w:style w:type="character" w:customStyle="1" w:styleId="ListLabel158">
    <w:name w:val="ListLabel 158"/>
    <w:qFormat/>
    <w:rPr>
      <w:rFonts w:eastAsia="Calibri"/>
    </w:rPr>
  </w:style>
  <w:style w:type="character" w:customStyle="1" w:styleId="ListLabel159">
    <w:name w:val="ListLabel 159"/>
    <w:qFormat/>
    <w:rPr>
      <w:rFonts w:eastAsia="Calibri"/>
    </w:rPr>
  </w:style>
  <w:style w:type="character" w:customStyle="1" w:styleId="ListLabel160">
    <w:name w:val="ListLabel 160"/>
    <w:qFormat/>
    <w:rPr>
      <w:rFonts w:eastAsia="Calibri"/>
    </w:rPr>
  </w:style>
  <w:style w:type="character" w:customStyle="1" w:styleId="ListLabel161">
    <w:name w:val="ListLabel 161"/>
    <w:qFormat/>
    <w:rPr>
      <w:rFonts w:eastAsia="Calibri"/>
    </w:rPr>
  </w:style>
  <w:style w:type="character" w:customStyle="1" w:styleId="ListLabel162">
    <w:name w:val="ListLabel 162"/>
    <w:qFormat/>
    <w:rPr>
      <w:rFonts w:eastAsia="Calibri"/>
    </w:rPr>
  </w:style>
  <w:style w:type="character" w:customStyle="1" w:styleId="ListLabel163">
    <w:name w:val="ListLabel 163"/>
    <w:qFormat/>
    <w:rPr>
      <w:rFonts w:eastAsia="Calibri"/>
      <w:b/>
    </w:rPr>
  </w:style>
  <w:style w:type="character" w:customStyle="1" w:styleId="ListLabel164">
    <w:name w:val="ListLabel 164"/>
    <w:qFormat/>
    <w:rPr>
      <w:rFonts w:eastAsia="Calibri"/>
    </w:rPr>
  </w:style>
  <w:style w:type="character" w:customStyle="1" w:styleId="ListLabel165">
    <w:name w:val="ListLabel 165"/>
    <w:qFormat/>
    <w:rPr>
      <w:rFonts w:eastAsia="Calibri"/>
    </w:rPr>
  </w:style>
  <w:style w:type="character" w:customStyle="1" w:styleId="ListLabel166">
    <w:name w:val="ListLabel 166"/>
    <w:qFormat/>
    <w:rPr>
      <w:rFonts w:eastAsia="Calibri"/>
    </w:rPr>
  </w:style>
  <w:style w:type="character" w:customStyle="1" w:styleId="ListLabel167">
    <w:name w:val="ListLabel 167"/>
    <w:qFormat/>
    <w:rPr>
      <w:rFonts w:eastAsia="Calibri"/>
    </w:rPr>
  </w:style>
  <w:style w:type="character" w:customStyle="1" w:styleId="ListLabel168">
    <w:name w:val="ListLabel 168"/>
    <w:qFormat/>
    <w:rPr>
      <w:rFonts w:eastAsia="Calibri"/>
    </w:rPr>
  </w:style>
  <w:style w:type="character" w:customStyle="1" w:styleId="ListLabel169">
    <w:name w:val="ListLabel 169"/>
    <w:qFormat/>
    <w:rPr>
      <w:rFonts w:eastAsia="Calibri"/>
    </w:rPr>
  </w:style>
  <w:style w:type="character" w:customStyle="1" w:styleId="ListLabel170">
    <w:name w:val="ListLabel 170"/>
    <w:qFormat/>
    <w:rPr>
      <w:rFonts w:eastAsia="Calibri"/>
    </w:rPr>
  </w:style>
  <w:style w:type="character" w:customStyle="1" w:styleId="ListLabel171">
    <w:name w:val="ListLabel 171"/>
    <w:qFormat/>
    <w:rPr>
      <w:rFonts w:eastAsia="Calibri"/>
    </w:rPr>
  </w:style>
  <w:style w:type="character" w:customStyle="1" w:styleId="ListLabel172">
    <w:name w:val="ListLabel 172"/>
    <w:qFormat/>
    <w:rPr>
      <w:rFonts w:eastAsia="Calibri"/>
    </w:rPr>
  </w:style>
  <w:style w:type="character" w:customStyle="1" w:styleId="ListLabel173">
    <w:name w:val="ListLabel 173"/>
    <w:qFormat/>
    <w:rPr>
      <w:rFonts w:eastAsia="Calibri"/>
    </w:rPr>
  </w:style>
  <w:style w:type="character" w:customStyle="1" w:styleId="ListLabel174">
    <w:name w:val="ListLabel 174"/>
    <w:qFormat/>
    <w:rPr>
      <w:rFonts w:eastAsia="Calibri"/>
    </w:rPr>
  </w:style>
  <w:style w:type="character" w:customStyle="1" w:styleId="ListLabel175">
    <w:name w:val="ListLabel 175"/>
    <w:qFormat/>
    <w:rPr>
      <w:rFonts w:eastAsia="Calibri"/>
    </w:rPr>
  </w:style>
  <w:style w:type="character" w:customStyle="1" w:styleId="ListLabel176">
    <w:name w:val="ListLabel 176"/>
    <w:qFormat/>
    <w:rPr>
      <w:rFonts w:eastAsia="Calibri"/>
    </w:rPr>
  </w:style>
  <w:style w:type="character" w:customStyle="1" w:styleId="ListLabel177">
    <w:name w:val="ListLabel 177"/>
    <w:qFormat/>
    <w:rPr>
      <w:rFonts w:eastAsia="Calibri"/>
    </w:rPr>
  </w:style>
  <w:style w:type="character" w:customStyle="1" w:styleId="ListLabel178">
    <w:name w:val="ListLabel 178"/>
    <w:qFormat/>
    <w:rPr>
      <w:rFonts w:eastAsia="Calibri"/>
    </w:rPr>
  </w:style>
  <w:style w:type="character" w:customStyle="1" w:styleId="ListLabel179">
    <w:name w:val="ListLabel 179"/>
    <w:qFormat/>
    <w:rPr>
      <w:rFonts w:eastAsia="Calibri"/>
    </w:rPr>
  </w:style>
  <w:style w:type="character" w:customStyle="1" w:styleId="ListLabel180">
    <w:name w:val="ListLabel 180"/>
    <w:qFormat/>
    <w:rPr>
      <w:rFonts w:eastAsia="Calibri"/>
    </w:rPr>
  </w:style>
  <w:style w:type="character" w:customStyle="1" w:styleId="ListLabel181">
    <w:name w:val="ListLabel 181"/>
    <w:qFormat/>
    <w:rPr>
      <w:rFonts w:eastAsia="Calibri"/>
      <w:b/>
      <w:sz w:val="24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eastAsia="Calibri"/>
    </w:rPr>
  </w:style>
  <w:style w:type="character" w:customStyle="1" w:styleId="ListLabel192">
    <w:name w:val="ListLabel 192"/>
    <w:qFormat/>
    <w:rPr>
      <w:rFonts w:eastAsia="Calibri"/>
    </w:rPr>
  </w:style>
  <w:style w:type="character" w:customStyle="1" w:styleId="ListLabel193">
    <w:name w:val="ListLabel 193"/>
    <w:qFormat/>
    <w:rPr>
      <w:rFonts w:eastAsia="Calibri"/>
    </w:rPr>
  </w:style>
  <w:style w:type="character" w:customStyle="1" w:styleId="ListLabel194">
    <w:name w:val="ListLabel 194"/>
    <w:qFormat/>
    <w:rPr>
      <w:rFonts w:eastAsia="Calibri"/>
    </w:rPr>
  </w:style>
  <w:style w:type="character" w:customStyle="1" w:styleId="ListLabel195">
    <w:name w:val="ListLabel 195"/>
    <w:qFormat/>
    <w:rPr>
      <w:rFonts w:eastAsia="Calibri"/>
    </w:rPr>
  </w:style>
  <w:style w:type="character" w:customStyle="1" w:styleId="ListLabel196">
    <w:name w:val="ListLabel 196"/>
    <w:qFormat/>
    <w:rPr>
      <w:rFonts w:eastAsia="Calibri"/>
    </w:rPr>
  </w:style>
  <w:style w:type="character" w:customStyle="1" w:styleId="ListLabel197">
    <w:name w:val="ListLabel 197"/>
    <w:qFormat/>
    <w:rPr>
      <w:rFonts w:eastAsia="Calibri"/>
    </w:rPr>
  </w:style>
  <w:style w:type="character" w:customStyle="1" w:styleId="ListLabel198">
    <w:name w:val="ListLabel 198"/>
    <w:qFormat/>
    <w:rPr>
      <w:rFonts w:eastAsia="Calibri"/>
    </w:rPr>
  </w:style>
  <w:style w:type="character" w:customStyle="1" w:styleId="ListLabel199">
    <w:name w:val="ListLabel 199"/>
    <w:qFormat/>
    <w:rPr>
      <w:rFonts w:eastAsia="Calibr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6690"/>
    <w:pPr>
      <w:ind w:left="720"/>
      <w:contextualSpacing/>
    </w:pPr>
  </w:style>
  <w:style w:type="paragraph" w:customStyle="1" w:styleId="Normal1">
    <w:name w:val="Normal1"/>
    <w:qFormat/>
    <w:rsid w:val="00156690"/>
    <w:pPr>
      <w:widowControl w:val="0"/>
      <w:suppressAutoHyphens/>
    </w:pPr>
    <w:rPr>
      <w:rFonts w:ascii="Liberation Serif" w:eastAsia="Times New Roman" w:hAnsi="Liberation Serif" w:cs="Liberation Serif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56690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66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C0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C5C0C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1566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579F"/>
    <w:pPr>
      <w:suppressAutoHyphens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E. Oysolova</dc:creator>
  <cp:lastModifiedBy>Iskren Trifonov</cp:lastModifiedBy>
  <cp:revision>2</cp:revision>
  <dcterms:created xsi:type="dcterms:W3CDTF">2021-10-20T12:14:00Z</dcterms:created>
  <dcterms:modified xsi:type="dcterms:W3CDTF">2021-10-20T12:14:00Z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